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A41061">
      <w:pPr>
        <w:spacing w:after="60"/>
        <w:jc w:val="center"/>
        <w:rPr>
          <w:rFonts w:hint="eastAsia" w:ascii="黑体" w:hAnsi="方正公文小标宋" w:eastAsia="黑体" w:cs="方正公文小标宋"/>
          <w:sz w:val="32"/>
          <w:szCs w:val="32"/>
        </w:rPr>
      </w:pPr>
      <w:r>
        <w:rPr>
          <w:rFonts w:hint="eastAsia" w:ascii="黑体" w:hAnsi="方正公文小标宋" w:eastAsia="黑体" w:cs="方正公文小标宋"/>
          <w:sz w:val="32"/>
          <w:szCs w:val="32"/>
        </w:rPr>
        <w:t>苏州市吴江区运河实验初级中学2026级学生校服采购方案</w:t>
      </w:r>
    </w:p>
    <w:p w14:paraId="031548A9">
      <w:pPr>
        <w:spacing w:before="200" w:after="100"/>
        <w:jc w:val="left"/>
        <w:outlineLvl w:val="0"/>
        <w:rPr>
          <w:rFonts w:hint="eastAsia" w:ascii="黑体" w:hAnsi="宋体" w:eastAsia="黑体" w:cs="宋体"/>
          <w:sz w:val="30"/>
          <w:szCs w:val="30"/>
        </w:rPr>
      </w:pPr>
      <w:r>
        <w:rPr>
          <w:rFonts w:hint="eastAsia" w:ascii="黑体" w:hAnsi="宋体" w:eastAsia="黑体" w:cs="宋体"/>
          <w:sz w:val="30"/>
          <w:szCs w:val="30"/>
        </w:rPr>
        <w:t>一、采购背景</w:t>
      </w:r>
    </w:p>
    <w:p w14:paraId="629132C4">
      <w:pPr>
        <w:ind w:firstLine="482"/>
        <w:jc w:val="left"/>
        <w:rPr>
          <w:rFonts w:hint="eastAsia" w:ascii="仿宋" w:hAnsi="宋体" w:eastAsia="仿宋" w:cs="宋体"/>
          <w:sz w:val="24"/>
        </w:rPr>
      </w:pPr>
      <w:r>
        <w:rPr>
          <w:rFonts w:hint="eastAsia" w:ascii="仿宋" w:hAnsi="宋体" w:eastAsia="仿宋" w:cs="宋体"/>
          <w:sz w:val="24"/>
        </w:rPr>
        <w:t>苏州市吴江区运河实验初级中学秉持“办老百姓满意的身边的优质教育”的办学理念，致力于为学生打造优质的教育环境与浓厚的校园文化氛围。目前，学校初一年级共设8个班级，学生总人数403人。</w:t>
      </w:r>
    </w:p>
    <w:p w14:paraId="77556BF5">
      <w:pPr>
        <w:ind w:firstLine="482"/>
        <w:jc w:val="left"/>
        <w:rPr>
          <w:rFonts w:hint="eastAsia" w:ascii="仿宋" w:hAnsi="宋体" w:eastAsia="仿宋" w:cs="宋体"/>
          <w:sz w:val="24"/>
        </w:rPr>
      </w:pPr>
      <w:r>
        <w:rPr>
          <w:rFonts w:hint="eastAsia" w:ascii="仿宋" w:hAnsi="宋体" w:eastAsia="仿宋" w:cs="宋体"/>
          <w:sz w:val="24"/>
        </w:rPr>
        <w:t>为提升学生归属感与校园文化认同，展现学生良好的精神风貌，构建和谐、统一的校园文化，同时保障学生校服的品质与安全，减轻家长经济负担，特制定本方案。本次采购工作将遵循“学生自愿、家长参与、学校组织、公开透明”的原则，确保流程规范、结果满意。</w:t>
      </w:r>
    </w:p>
    <w:p w14:paraId="231B9649">
      <w:pPr>
        <w:spacing w:before="200" w:after="100"/>
        <w:jc w:val="left"/>
        <w:outlineLvl w:val="0"/>
        <w:rPr>
          <w:rFonts w:hint="eastAsia" w:ascii="黑体" w:hAnsi="宋体" w:eastAsia="黑体" w:cs="宋体"/>
          <w:sz w:val="30"/>
          <w:szCs w:val="30"/>
        </w:rPr>
      </w:pPr>
      <w:r>
        <w:rPr>
          <w:rFonts w:hint="eastAsia" w:ascii="黑体" w:hAnsi="宋体" w:eastAsia="黑体" w:cs="宋体"/>
          <w:sz w:val="30"/>
          <w:szCs w:val="30"/>
        </w:rPr>
        <w:t>二、征求家长意向情况</w:t>
      </w:r>
    </w:p>
    <w:p w14:paraId="746120CB">
      <w:pPr>
        <w:ind w:firstLine="482"/>
        <w:jc w:val="left"/>
        <w:rPr>
          <w:rFonts w:hint="eastAsia" w:ascii="仿宋" w:hAnsi="宋体" w:eastAsia="仿宋" w:cs="宋体"/>
          <w:sz w:val="24"/>
        </w:rPr>
      </w:pPr>
      <w:r>
        <w:rPr>
          <w:rFonts w:hint="eastAsia" w:ascii="仿宋" w:hAnsi="宋体" w:eastAsia="仿宋" w:cs="宋体"/>
          <w:sz w:val="24"/>
        </w:rPr>
        <w:t>2026年</w:t>
      </w:r>
      <w:r>
        <w:rPr>
          <w:rFonts w:ascii="仿宋" w:hAnsi="宋体" w:eastAsia="仿宋" w:cs="宋体"/>
          <w:sz w:val="24"/>
        </w:rPr>
        <w:t>7</w:t>
      </w:r>
      <w:r>
        <w:rPr>
          <w:rFonts w:hint="eastAsia" w:ascii="仿宋" w:hAnsi="宋体" w:eastAsia="仿宋" w:cs="宋体"/>
          <w:sz w:val="24"/>
        </w:rPr>
        <w:t>月26日，我校向初一年级地段生家长下发了购买校服征求意见表，经回收统计，地段生在线问卷发放328份，回收收集表289份，同意选购264票；8月1日、2日积分生75人现场审核，现场发放问卷71份，回收问卷68份，同意选购66票。2026级学生人数403人，同意选购330人，占比81.89%。同意采购人数占比超过三分之二。</w:t>
      </w:r>
    </w:p>
    <w:p w14:paraId="4D340761">
      <w:pPr>
        <w:ind w:firstLine="482"/>
        <w:jc w:val="left"/>
        <w:rPr>
          <w:rFonts w:hint="eastAsia" w:ascii="仿宋" w:hAnsi="宋体" w:eastAsia="仿宋" w:cs="宋体"/>
          <w:sz w:val="24"/>
        </w:rPr>
      </w:pPr>
      <w:r>
        <w:rPr>
          <w:rFonts w:hint="eastAsia" w:ascii="仿宋" w:hAnsi="宋体" w:eastAsia="仿宋" w:cs="宋体"/>
          <w:sz w:val="24"/>
        </w:rPr>
        <w:t>2026年8月</w:t>
      </w:r>
      <w:r>
        <w:rPr>
          <w:rFonts w:ascii="仿宋" w:hAnsi="宋体" w:eastAsia="仿宋" w:cs="宋体"/>
          <w:sz w:val="24"/>
        </w:rPr>
        <w:t>2</w:t>
      </w:r>
      <w:r>
        <w:rPr>
          <w:rFonts w:hint="eastAsia" w:ascii="仿宋" w:hAnsi="宋体" w:eastAsia="仿宋" w:cs="宋体"/>
          <w:sz w:val="24"/>
        </w:rPr>
        <w:t>日，本届学生家委会出具了授权委托书，委托学校负责组织实施校服选购相关工作。</w:t>
      </w:r>
      <w:bookmarkStart w:id="2" w:name="_GoBack"/>
      <w:bookmarkEnd w:id="2"/>
    </w:p>
    <w:p w14:paraId="600BE2FC">
      <w:pPr>
        <w:spacing w:before="200" w:after="100"/>
        <w:jc w:val="left"/>
        <w:outlineLvl w:val="0"/>
        <w:rPr>
          <w:rFonts w:hint="eastAsia" w:ascii="黑体" w:hAnsi="宋体" w:eastAsia="黑体" w:cs="宋体"/>
          <w:sz w:val="30"/>
          <w:szCs w:val="30"/>
        </w:rPr>
      </w:pPr>
      <w:r>
        <w:rPr>
          <w:rFonts w:hint="eastAsia" w:ascii="黑体" w:hAnsi="宋体" w:eastAsia="黑体" w:cs="宋体"/>
          <w:sz w:val="30"/>
          <w:szCs w:val="30"/>
        </w:rPr>
        <w:t>三、成立校服选用组织</w:t>
      </w:r>
    </w:p>
    <w:p w14:paraId="430FDA14">
      <w:pPr>
        <w:ind w:firstLine="482"/>
        <w:jc w:val="left"/>
        <w:rPr>
          <w:rFonts w:hint="eastAsia" w:ascii="仿宋" w:hAnsi="宋体" w:eastAsia="仿宋" w:cs="宋体"/>
          <w:sz w:val="24"/>
        </w:rPr>
      </w:pPr>
      <w:r>
        <w:rPr>
          <w:rFonts w:hint="eastAsia" w:ascii="仿宋" w:hAnsi="宋体" w:eastAsia="仿宋" w:cs="宋体"/>
          <w:sz w:val="24"/>
        </w:rPr>
        <w:t>2026年7月24日，为确保采购工作的顺利进行，成立由多方代表组成的校服选用组织，参与校服选用、采购、监督等工作。成员组成详见附表。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4"/>
        <w:gridCol w:w="6532"/>
      </w:tblGrid>
      <w:tr w14:paraId="01AB8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vAlign w:val="center"/>
          </w:tcPr>
          <w:p w14:paraId="522E06C2">
            <w:pPr>
              <w:jc w:val="center"/>
              <w:rPr>
                <w:rFonts w:hint="eastAsia" w:ascii="仿宋" w:hAnsi="宋体" w:eastAsia="仿宋" w:cs="宋体"/>
                <w:sz w:val="24"/>
              </w:rPr>
            </w:pPr>
            <w:r>
              <w:rPr>
                <w:rFonts w:hint="eastAsia" w:ascii="方正仿宋_GB2312" w:hAnsi="方正仿宋_GB2312" w:eastAsia="方正仿宋_GB2312" w:cs="方正仿宋_GB2312"/>
                <w:sz w:val="24"/>
              </w:rPr>
              <w:t>校服选用组织</w:t>
            </w:r>
          </w:p>
        </w:tc>
        <w:tc>
          <w:tcPr>
            <w:tcW w:w="6532" w:type="dxa"/>
            <w:vAlign w:val="center"/>
          </w:tcPr>
          <w:p w14:paraId="4AC623FB">
            <w:pPr>
              <w:rPr>
                <w:rFonts w:hint="eastAsia" w:ascii="仿宋" w:hAnsi="仿宋" w:eastAsia="仿宋"/>
                <w:sz w:val="24"/>
              </w:rPr>
            </w:pPr>
            <w:r>
              <w:rPr>
                <w:rFonts w:hint="eastAsia" w:ascii="仿宋" w:hAnsi="仿宋" w:eastAsia="仿宋"/>
                <w:sz w:val="24"/>
              </w:rPr>
              <w:t>学校行政：盛建国（1人）</w:t>
            </w:r>
          </w:p>
          <w:p w14:paraId="2E5F366A">
            <w:pPr>
              <w:rPr>
                <w:rFonts w:hint="eastAsia" w:ascii="仿宋" w:hAnsi="仿宋" w:eastAsia="仿宋"/>
                <w:sz w:val="24"/>
              </w:rPr>
            </w:pPr>
            <w:r>
              <w:rPr>
                <w:rFonts w:hint="eastAsia" w:ascii="仿宋" w:hAnsi="仿宋" w:eastAsia="仿宋"/>
                <w:sz w:val="24"/>
              </w:rPr>
              <w:t>专家：朱少庆（1人）</w:t>
            </w:r>
          </w:p>
          <w:p w14:paraId="15B75F5F">
            <w:pPr>
              <w:rPr>
                <w:rFonts w:hint="eastAsia" w:ascii="仿宋" w:hAnsi="仿宋" w:eastAsia="仿宋"/>
                <w:sz w:val="24"/>
              </w:rPr>
            </w:pPr>
            <w:r>
              <w:rPr>
                <w:rFonts w:hint="eastAsia" w:ascii="仿宋" w:hAnsi="仿宋" w:eastAsia="仿宋"/>
                <w:sz w:val="24"/>
              </w:rPr>
              <w:t>家长代表：杨春香、沈银国、李卫峰、陈珊珊、沈洪、徐加瑞、凌虹、潘伊赟、周春燕、蔡萍萍、周斌（11人）</w:t>
            </w:r>
          </w:p>
          <w:p w14:paraId="36D27157">
            <w:pPr>
              <w:rPr>
                <w:rFonts w:hint="eastAsia" w:ascii="仿宋" w:hAnsi="仿宋" w:eastAsia="仿宋"/>
                <w:sz w:val="24"/>
              </w:rPr>
            </w:pPr>
            <w:r>
              <w:rPr>
                <w:rFonts w:hint="eastAsia" w:ascii="仿宋" w:hAnsi="仿宋" w:eastAsia="仿宋"/>
                <w:sz w:val="24"/>
              </w:rPr>
              <w:t>学生代表：周舒瑶、王屹（2人）</w:t>
            </w:r>
          </w:p>
          <w:p w14:paraId="4252E86D">
            <w:pPr>
              <w:rPr>
                <w:rFonts w:hint="eastAsia" w:ascii="仿宋" w:hAnsi="仿宋" w:eastAsia="仿宋"/>
                <w:sz w:val="24"/>
              </w:rPr>
            </w:pPr>
            <w:r>
              <w:rPr>
                <w:rFonts w:hint="eastAsia" w:ascii="仿宋" w:hAnsi="仿宋" w:eastAsia="仿宋"/>
                <w:sz w:val="24"/>
              </w:rPr>
              <w:t>注：校服选用组织共15人组成，其中家长和学生代表13人，占总人数的86.7%。</w:t>
            </w:r>
          </w:p>
        </w:tc>
      </w:tr>
      <w:tr w14:paraId="1947C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vAlign w:val="center"/>
          </w:tcPr>
          <w:p w14:paraId="2C173E15">
            <w:pPr>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监督小组</w:t>
            </w:r>
          </w:p>
        </w:tc>
        <w:tc>
          <w:tcPr>
            <w:tcW w:w="6532" w:type="dxa"/>
            <w:vAlign w:val="center"/>
          </w:tcPr>
          <w:p w14:paraId="12B57823">
            <w:pPr>
              <w:rPr>
                <w:rFonts w:hint="eastAsia" w:ascii="仿宋" w:hAnsi="仿宋" w:eastAsia="仿宋"/>
                <w:sz w:val="24"/>
              </w:rPr>
            </w:pPr>
            <w:r>
              <w:rPr>
                <w:rFonts w:hint="eastAsia" w:ascii="仿宋" w:hAnsi="仿宋" w:eastAsia="仿宋"/>
                <w:sz w:val="24"/>
              </w:rPr>
              <w:t>学校代表：周琦、龚春峰（2人）</w:t>
            </w:r>
          </w:p>
          <w:p w14:paraId="56CE8C4A">
            <w:pPr>
              <w:rPr>
                <w:rFonts w:hint="eastAsia" w:ascii="仿宋" w:hAnsi="仿宋" w:eastAsia="仿宋"/>
                <w:sz w:val="24"/>
              </w:rPr>
            </w:pPr>
            <w:r>
              <w:rPr>
                <w:rFonts w:hint="eastAsia" w:ascii="仿宋" w:hAnsi="仿宋" w:eastAsia="仿宋"/>
                <w:sz w:val="24"/>
              </w:rPr>
              <w:t>财务：范娟（1人）</w:t>
            </w:r>
          </w:p>
          <w:p w14:paraId="4CE8C7DA">
            <w:pPr>
              <w:rPr>
                <w:rFonts w:hint="eastAsia" w:ascii="仿宋" w:hAnsi="仿宋" w:eastAsia="仿宋"/>
                <w:sz w:val="24"/>
              </w:rPr>
            </w:pPr>
            <w:r>
              <w:rPr>
                <w:rFonts w:hint="eastAsia" w:ascii="仿宋" w:hAnsi="仿宋" w:eastAsia="仿宋"/>
                <w:sz w:val="24"/>
              </w:rPr>
              <w:t>家长代表：董广星、王耀荣（2人）</w:t>
            </w:r>
          </w:p>
        </w:tc>
      </w:tr>
      <w:tr w14:paraId="44033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vAlign w:val="center"/>
          </w:tcPr>
          <w:p w14:paraId="72E7FC3B">
            <w:pPr>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验收工作组</w:t>
            </w:r>
          </w:p>
        </w:tc>
        <w:tc>
          <w:tcPr>
            <w:tcW w:w="6532" w:type="dxa"/>
            <w:vAlign w:val="center"/>
          </w:tcPr>
          <w:p w14:paraId="48C46609">
            <w:pPr>
              <w:rPr>
                <w:rFonts w:hint="eastAsia" w:ascii="仿宋" w:hAnsi="仿宋" w:eastAsia="仿宋"/>
                <w:sz w:val="24"/>
              </w:rPr>
            </w:pPr>
            <w:r>
              <w:rPr>
                <w:rFonts w:hint="eastAsia" w:ascii="仿宋" w:hAnsi="仿宋" w:eastAsia="仿宋"/>
                <w:sz w:val="24"/>
              </w:rPr>
              <w:t>学校代表：朱少庆、汤国伟（2人）</w:t>
            </w:r>
          </w:p>
          <w:p w14:paraId="318B31D3">
            <w:pPr>
              <w:rPr>
                <w:rFonts w:hint="eastAsia" w:ascii="仿宋" w:hAnsi="仿宋" w:eastAsia="仿宋"/>
                <w:sz w:val="24"/>
              </w:rPr>
            </w:pPr>
            <w:r>
              <w:rPr>
                <w:rFonts w:hint="eastAsia" w:ascii="仿宋" w:hAnsi="仿宋" w:eastAsia="仿宋"/>
                <w:sz w:val="24"/>
              </w:rPr>
              <w:t>家长代表：凌虹、杨春香、沈银国（3人）</w:t>
            </w:r>
          </w:p>
        </w:tc>
      </w:tr>
    </w:tbl>
    <w:p w14:paraId="4B03F62A">
      <w:pPr>
        <w:spacing w:before="200" w:after="100"/>
        <w:jc w:val="left"/>
        <w:outlineLvl w:val="0"/>
        <w:rPr>
          <w:rFonts w:hint="eastAsia" w:ascii="黑体" w:hAnsi="宋体" w:eastAsia="黑体" w:cs="宋体"/>
          <w:sz w:val="30"/>
          <w:szCs w:val="30"/>
        </w:rPr>
      </w:pPr>
      <w:r>
        <w:rPr>
          <w:rFonts w:hint="eastAsia" w:ascii="黑体" w:hAnsi="宋体" w:eastAsia="黑体" w:cs="宋体"/>
          <w:sz w:val="30"/>
          <w:szCs w:val="30"/>
        </w:rPr>
        <w:t>四、采购需求基本内容</w:t>
      </w:r>
    </w:p>
    <w:p w14:paraId="720777C8">
      <w:pPr>
        <w:adjustRightInd w:val="0"/>
        <w:spacing w:line="600" w:lineRule="exact"/>
        <w:rPr>
          <w:rFonts w:hint="eastAsia" w:ascii="楷体" w:hAnsi="宋体" w:eastAsia="楷体" w:cs="宋体"/>
          <w:sz w:val="32"/>
        </w:rPr>
      </w:pPr>
      <w:r>
        <w:rPr>
          <w:rFonts w:hint="eastAsia" w:ascii="楷体" w:hAnsi="宋体" w:eastAsia="楷体" w:cs="宋体"/>
          <w:sz w:val="32"/>
        </w:rPr>
        <w:t>（一）基础信息：</w:t>
      </w:r>
    </w:p>
    <w:p w14:paraId="238B1B49">
      <w:pPr>
        <w:ind w:firstLine="482"/>
        <w:jc w:val="left"/>
        <w:rPr>
          <w:rFonts w:hint="eastAsia" w:ascii="仿宋" w:hAnsi="宋体" w:eastAsia="仿宋" w:cs="宋体"/>
          <w:sz w:val="24"/>
        </w:rPr>
      </w:pPr>
      <w:r>
        <w:rPr>
          <w:rFonts w:hint="eastAsia" w:ascii="仿宋" w:hAnsi="宋体" w:eastAsia="仿宋" w:cs="宋体"/>
          <w:sz w:val="24"/>
        </w:rPr>
        <w:t>学校名称：苏州市吴江区运河实验初级中学</w:t>
      </w:r>
    </w:p>
    <w:p w14:paraId="2AA27B17">
      <w:pPr>
        <w:ind w:firstLine="482"/>
        <w:jc w:val="left"/>
        <w:rPr>
          <w:rFonts w:hint="eastAsia" w:ascii="仿宋" w:hAnsi="宋体" w:eastAsia="仿宋" w:cs="宋体"/>
          <w:sz w:val="24"/>
        </w:rPr>
      </w:pPr>
      <w:r>
        <w:rPr>
          <w:rFonts w:hint="eastAsia" w:ascii="仿宋" w:hAnsi="宋体" w:eastAsia="仿宋" w:cs="宋体"/>
          <w:sz w:val="24"/>
        </w:rPr>
        <w:t>地址：苏州市吴江区平望镇莺湖路151号</w:t>
      </w:r>
    </w:p>
    <w:p w14:paraId="3658E458">
      <w:pPr>
        <w:ind w:firstLine="482"/>
        <w:jc w:val="left"/>
        <w:rPr>
          <w:rFonts w:hint="eastAsia" w:ascii="仿宋" w:hAnsi="宋体" w:eastAsia="仿宋" w:cs="宋体"/>
          <w:sz w:val="24"/>
        </w:rPr>
      </w:pPr>
      <w:r>
        <w:rPr>
          <w:rFonts w:hint="eastAsia" w:ascii="仿宋" w:hAnsi="宋体" w:eastAsia="仿宋" w:cs="宋体"/>
          <w:sz w:val="24"/>
        </w:rPr>
        <w:t>联系人：朱少庆</w:t>
      </w:r>
    </w:p>
    <w:p w14:paraId="0B3CC649">
      <w:pPr>
        <w:ind w:firstLine="482"/>
        <w:jc w:val="left"/>
        <w:rPr>
          <w:rFonts w:hint="eastAsia" w:ascii="仿宋" w:hAnsi="宋体" w:eastAsia="仿宋" w:cs="宋体"/>
          <w:sz w:val="24"/>
        </w:rPr>
      </w:pPr>
      <w:r>
        <w:rPr>
          <w:rFonts w:hint="eastAsia" w:ascii="仿宋" w:hAnsi="宋体" w:eastAsia="仿宋" w:cs="宋体"/>
          <w:sz w:val="24"/>
        </w:rPr>
        <w:t>联系方式：0512-63650741</w:t>
      </w:r>
    </w:p>
    <w:p w14:paraId="358F887B">
      <w:pPr>
        <w:ind w:firstLine="482"/>
        <w:jc w:val="left"/>
        <w:rPr>
          <w:rFonts w:hint="eastAsia" w:ascii="仿宋" w:hAnsi="宋体" w:eastAsia="仿宋" w:cs="宋体"/>
          <w:sz w:val="24"/>
        </w:rPr>
      </w:pPr>
      <w:r>
        <w:rPr>
          <w:rFonts w:hint="eastAsia" w:ascii="仿宋" w:hAnsi="宋体" w:eastAsia="仿宋" w:cs="宋体"/>
          <w:sz w:val="24"/>
        </w:rPr>
        <w:t>采购年级：新初中一年级（共设8个班级，学生总人数403人）</w:t>
      </w:r>
    </w:p>
    <w:p w14:paraId="5E73A5BB">
      <w:pPr>
        <w:ind w:firstLine="482"/>
        <w:jc w:val="left"/>
        <w:rPr>
          <w:rFonts w:hint="eastAsia" w:ascii="仿宋" w:hAnsi="宋体" w:eastAsia="仿宋" w:cs="宋体"/>
          <w:sz w:val="24"/>
        </w:rPr>
      </w:pPr>
      <w:r>
        <w:rPr>
          <w:rFonts w:hint="eastAsia" w:ascii="仿宋" w:hAnsi="宋体" w:eastAsia="仿宋" w:cs="宋体"/>
          <w:sz w:val="24"/>
        </w:rPr>
        <w:t>交货时间：在2026年10月15日前完成全部校服的生产与交付工作。</w:t>
      </w:r>
    </w:p>
    <w:p w14:paraId="15A9E8FA">
      <w:pPr>
        <w:ind w:firstLine="482"/>
        <w:jc w:val="left"/>
        <w:rPr>
          <w:rFonts w:hint="eastAsia" w:ascii="仿宋" w:hAnsi="宋体" w:eastAsia="仿宋" w:cs="宋体"/>
          <w:sz w:val="24"/>
        </w:rPr>
      </w:pPr>
      <w:r>
        <w:rPr>
          <w:rFonts w:hint="eastAsia" w:ascii="仿宋" w:hAnsi="宋体" w:eastAsia="仿宋" w:cs="宋体"/>
          <w:sz w:val="24"/>
        </w:rPr>
        <w:t>地点：苏州市吴江区运河实验初级中学</w:t>
      </w:r>
    </w:p>
    <w:p w14:paraId="325B83D5">
      <w:pPr>
        <w:adjustRightInd w:val="0"/>
        <w:spacing w:line="600" w:lineRule="exact"/>
        <w:rPr>
          <w:rFonts w:hint="eastAsia" w:ascii="楷体" w:hAnsi="宋体" w:eastAsia="楷体" w:cs="宋体"/>
          <w:sz w:val="32"/>
        </w:rPr>
      </w:pPr>
      <w:r>
        <w:rPr>
          <w:rFonts w:hint="eastAsia" w:ascii="楷体" w:hAnsi="宋体" w:eastAsia="楷体" w:cs="宋体"/>
          <w:sz w:val="32"/>
        </w:rPr>
        <w:t>（二）校服种类与数量</w:t>
      </w:r>
    </w:p>
    <w:p w14:paraId="7BDD4104">
      <w:pPr>
        <w:ind w:firstLine="482"/>
        <w:jc w:val="left"/>
        <w:rPr>
          <w:rFonts w:hint="eastAsia" w:ascii="仿宋" w:hAnsi="宋体" w:eastAsia="仿宋" w:cs="宋体"/>
          <w:sz w:val="24"/>
        </w:rPr>
      </w:pPr>
      <w:r>
        <w:rPr>
          <w:rFonts w:hint="eastAsia" w:ascii="仿宋" w:hAnsi="宋体" w:eastAsia="仿宋" w:cs="宋体"/>
          <w:sz w:val="24"/>
        </w:rPr>
        <w:t>1.校服种类</w:t>
      </w:r>
    </w:p>
    <w:p w14:paraId="721430F5">
      <w:pPr>
        <w:ind w:firstLine="482"/>
        <w:jc w:val="left"/>
        <w:rPr>
          <w:rFonts w:hint="eastAsia" w:ascii="仿宋" w:hAnsi="宋体" w:eastAsia="仿宋" w:cs="宋体"/>
          <w:sz w:val="24"/>
        </w:rPr>
      </w:pPr>
      <w:bookmarkStart w:id="0" w:name="OLE_LINK2"/>
      <w:bookmarkStart w:id="1" w:name="OLE_LINK1"/>
      <w:r>
        <w:rPr>
          <w:rFonts w:hint="eastAsia" w:ascii="仿宋" w:hAnsi="宋体" w:eastAsia="仿宋" w:cs="宋体"/>
          <w:sz w:val="24"/>
        </w:rPr>
        <w:t>涵盖夏季、春秋季：夏装（短袖T恤+男短裤/女裙裤）+春秋装（运动上衣+运动裤）</w:t>
      </w:r>
      <w:bookmarkEnd w:id="0"/>
      <w:bookmarkEnd w:id="1"/>
      <w:r>
        <w:rPr>
          <w:rFonts w:hint="eastAsia" w:ascii="仿宋" w:hAnsi="宋体" w:eastAsia="仿宋" w:cs="宋体"/>
          <w:sz w:val="24"/>
        </w:rPr>
        <w:t>；</w:t>
      </w:r>
    </w:p>
    <w:p w14:paraId="0BA7269C">
      <w:pPr>
        <w:ind w:firstLine="482"/>
        <w:jc w:val="left"/>
        <w:rPr>
          <w:rFonts w:hint="eastAsia" w:ascii="仿宋" w:hAnsi="宋体" w:eastAsia="仿宋" w:cs="宋体"/>
          <w:sz w:val="24"/>
        </w:rPr>
      </w:pPr>
      <w:r>
        <w:rPr>
          <w:rFonts w:hint="eastAsia" w:ascii="仿宋" w:hAnsi="宋体" w:eastAsia="仿宋" w:cs="宋体"/>
          <w:sz w:val="24"/>
        </w:rPr>
        <w:t>2.数量要求</w:t>
      </w:r>
    </w:p>
    <w:p w14:paraId="2680EF0A">
      <w:pPr>
        <w:ind w:firstLine="482"/>
        <w:jc w:val="left"/>
        <w:rPr>
          <w:rFonts w:hint="eastAsia" w:ascii="仿宋" w:hAnsi="宋体" w:eastAsia="仿宋" w:cs="宋体"/>
          <w:sz w:val="24"/>
        </w:rPr>
      </w:pPr>
      <w:r>
        <w:rPr>
          <w:rFonts w:hint="eastAsia" w:ascii="仿宋" w:hAnsi="宋体" w:eastAsia="仿宋" w:cs="宋体"/>
          <w:sz w:val="24"/>
        </w:rPr>
        <w:t>每位学生配备夏装一套（短袖T恤1件+男短裤/女裙裤1件）+春秋装一套（运动上衣1件+运动裤1件）。最终按实结算。</w:t>
      </w:r>
    </w:p>
    <w:p w14:paraId="3B5F073C">
      <w:pPr>
        <w:spacing w:before="200" w:after="100"/>
        <w:jc w:val="left"/>
        <w:outlineLvl w:val="1"/>
        <w:rPr>
          <w:rFonts w:hint="eastAsia" w:ascii="楷体" w:hAnsi="宋体" w:eastAsia="楷体" w:cs="宋体"/>
          <w:sz w:val="32"/>
        </w:rPr>
      </w:pPr>
      <w:r>
        <w:rPr>
          <w:rFonts w:hint="eastAsia" w:ascii="楷体" w:hAnsi="宋体" w:eastAsia="楷体" w:cs="宋体"/>
          <w:sz w:val="32"/>
        </w:rPr>
        <w:t>（三）设计与样式</w:t>
      </w:r>
    </w:p>
    <w:p w14:paraId="47A54FE7">
      <w:pPr>
        <w:ind w:firstLine="482"/>
        <w:jc w:val="left"/>
        <w:rPr>
          <w:rFonts w:hint="eastAsia" w:ascii="仿宋" w:hAnsi="宋体" w:eastAsia="仿宋" w:cs="宋体"/>
          <w:sz w:val="24"/>
        </w:rPr>
      </w:pPr>
      <w:r>
        <w:rPr>
          <w:rFonts w:hint="eastAsia" w:ascii="仿宋" w:hAnsi="宋体" w:eastAsia="仿宋" w:cs="宋体"/>
          <w:sz w:val="24"/>
        </w:rPr>
        <w:t>1.款式评选：2026年7月24日,组织由学校代表、专家、家长代表、学生代表组成的校服选用组织，对参选款式进行投票评选。</w:t>
      </w:r>
    </w:p>
    <w:p w14:paraId="2BF73938">
      <w:pPr>
        <w:ind w:firstLine="482"/>
        <w:jc w:val="left"/>
        <w:rPr>
          <w:rFonts w:hint="eastAsia" w:ascii="仿宋" w:hAnsi="宋体" w:eastAsia="仿宋" w:cs="宋体"/>
          <w:sz w:val="24"/>
        </w:rPr>
      </w:pPr>
      <w:r>
        <w:rPr>
          <w:rFonts w:hint="eastAsia" w:ascii="仿宋" w:hAnsi="宋体" w:eastAsia="仿宋" w:cs="宋体"/>
          <w:sz w:val="24"/>
        </w:rPr>
        <w:t>2.本次校服采购、款式选用事项已通过校服选用组织会议确定，由学校代表、专家、家长代表、学生代表表决确定，校服选用组织由15人组成，其中家长代表和学生代表共13人，占总人数的86.7%。</w:t>
      </w:r>
    </w:p>
    <w:p w14:paraId="465AED30">
      <w:pPr>
        <w:ind w:firstLine="482"/>
        <w:jc w:val="left"/>
        <w:rPr>
          <w:rFonts w:hint="eastAsia" w:ascii="仿宋" w:hAnsi="宋体" w:eastAsia="仿宋" w:cs="宋体"/>
          <w:sz w:val="24"/>
        </w:rPr>
      </w:pPr>
      <w:r>
        <w:rPr>
          <w:rFonts w:hint="eastAsia" w:ascii="仿宋" w:hAnsi="宋体" w:eastAsia="仿宋" w:cs="宋体"/>
          <w:sz w:val="24"/>
        </w:rPr>
        <w:t>3.公示2026年8月2日,将全体家长意见征求情况、校服选用组织会议情况、最终选定的校服款式（含效果图、面料说明）在学校官网、公告栏等进行公示，一套总价不超</w:t>
      </w:r>
      <w:r>
        <w:rPr>
          <w:rFonts w:hint="eastAsia" w:ascii="仿宋" w:hAnsi="宋体" w:eastAsia="仿宋" w:cs="宋体"/>
          <w:sz w:val="24"/>
          <w:lang w:eastAsia="zh-CN"/>
        </w:rPr>
        <w:t>330</w:t>
      </w:r>
      <w:r>
        <w:rPr>
          <w:rFonts w:hint="eastAsia" w:ascii="仿宋" w:hAnsi="宋体" w:eastAsia="仿宋" w:cs="宋体"/>
          <w:sz w:val="24"/>
        </w:rPr>
        <w:t>元，最终价格以中标价为准。</w:t>
      </w:r>
    </w:p>
    <w:p w14:paraId="294A2E18">
      <w:pPr>
        <w:ind w:firstLine="482"/>
        <w:jc w:val="left"/>
        <w:rPr>
          <w:rFonts w:hint="eastAsia" w:ascii="仿宋" w:hAnsi="宋体" w:eastAsia="仿宋" w:cs="宋体"/>
          <w:sz w:val="24"/>
        </w:rPr>
      </w:pPr>
      <w:r>
        <w:rPr>
          <w:rFonts w:hint="eastAsia" w:ascii="仿宋" w:hAnsi="宋体" w:eastAsia="仿宋" w:cs="宋体"/>
          <w:sz w:val="24"/>
        </w:rPr>
        <w:t>4.面料、款式要求：</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
        <w:gridCol w:w="780"/>
        <w:gridCol w:w="2726"/>
        <w:gridCol w:w="3716"/>
      </w:tblGrid>
      <w:tr w14:paraId="4539E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8" w:type="dxa"/>
            <w:vAlign w:val="center"/>
          </w:tcPr>
          <w:p w14:paraId="1DD71887">
            <w:pPr>
              <w:jc w:val="center"/>
              <w:rPr>
                <w:rFonts w:hint="eastAsia" w:ascii="宋体" w:hAnsi="宋体" w:eastAsia="宋体" w:cs="宋体"/>
                <w:b/>
                <w:bCs/>
                <w:kern w:val="0"/>
                <w:sz w:val="24"/>
              </w:rPr>
            </w:pPr>
            <w:r>
              <w:rPr>
                <w:rFonts w:hint="eastAsia" w:ascii="宋体" w:hAnsi="宋体" w:eastAsia="宋体" w:cs="宋体"/>
                <w:b/>
                <w:bCs/>
                <w:kern w:val="0"/>
                <w:sz w:val="24"/>
              </w:rPr>
              <w:t>名称</w:t>
            </w:r>
          </w:p>
        </w:tc>
        <w:tc>
          <w:tcPr>
            <w:tcW w:w="780" w:type="dxa"/>
            <w:vAlign w:val="center"/>
          </w:tcPr>
          <w:p w14:paraId="5FD4A34C">
            <w:pPr>
              <w:jc w:val="center"/>
              <w:rPr>
                <w:rFonts w:hint="eastAsia" w:ascii="宋体" w:hAnsi="宋体" w:eastAsia="宋体" w:cs="宋体"/>
                <w:b/>
                <w:bCs/>
                <w:kern w:val="0"/>
                <w:sz w:val="24"/>
              </w:rPr>
            </w:pPr>
            <w:r>
              <w:rPr>
                <w:rFonts w:hint="eastAsia" w:ascii="宋体" w:hAnsi="宋体" w:eastAsia="宋体" w:cs="宋体"/>
                <w:b/>
                <w:bCs/>
                <w:kern w:val="0"/>
                <w:sz w:val="24"/>
              </w:rPr>
              <w:t>款式名称</w:t>
            </w:r>
          </w:p>
        </w:tc>
        <w:tc>
          <w:tcPr>
            <w:tcW w:w="2726" w:type="dxa"/>
            <w:vAlign w:val="center"/>
          </w:tcPr>
          <w:p w14:paraId="7B89738C">
            <w:pPr>
              <w:jc w:val="center"/>
              <w:rPr>
                <w:rFonts w:hint="eastAsia" w:ascii="宋体" w:hAnsi="宋体" w:eastAsia="宋体" w:cs="宋体"/>
                <w:b/>
                <w:bCs/>
                <w:kern w:val="0"/>
                <w:sz w:val="24"/>
              </w:rPr>
            </w:pPr>
            <w:r>
              <w:rPr>
                <w:rFonts w:hint="eastAsia" w:ascii="宋体" w:hAnsi="宋体" w:eastAsia="宋体" w:cs="宋体"/>
                <w:b/>
                <w:bCs/>
                <w:kern w:val="0"/>
                <w:sz w:val="24"/>
              </w:rPr>
              <w:t>参考图片</w:t>
            </w:r>
          </w:p>
        </w:tc>
        <w:tc>
          <w:tcPr>
            <w:tcW w:w="3716" w:type="dxa"/>
            <w:vAlign w:val="center"/>
          </w:tcPr>
          <w:p w14:paraId="6322B300">
            <w:pPr>
              <w:jc w:val="center"/>
              <w:rPr>
                <w:rFonts w:hint="eastAsia" w:ascii="宋体" w:hAnsi="宋体" w:eastAsia="宋体" w:cs="宋体"/>
                <w:b/>
                <w:bCs/>
                <w:kern w:val="0"/>
                <w:sz w:val="24"/>
              </w:rPr>
            </w:pPr>
            <w:r>
              <w:rPr>
                <w:rFonts w:hint="eastAsia" w:ascii="宋体" w:hAnsi="宋体" w:eastAsia="宋体" w:cs="宋体"/>
                <w:b/>
                <w:bCs/>
                <w:kern w:val="0"/>
                <w:sz w:val="24"/>
              </w:rPr>
              <w:t>技术参数</w:t>
            </w:r>
          </w:p>
        </w:tc>
      </w:tr>
      <w:tr w14:paraId="2E00C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8" w:type="dxa"/>
            <w:vMerge w:val="restart"/>
            <w:vAlign w:val="center"/>
          </w:tcPr>
          <w:p w14:paraId="5A115727">
            <w:pPr>
              <w:jc w:val="center"/>
              <w:rPr>
                <w:rFonts w:hint="eastAsia" w:ascii="仿宋" w:hAnsi="宋体" w:eastAsia="仿宋" w:cs="宋体"/>
                <w:sz w:val="24"/>
              </w:rPr>
            </w:pPr>
            <w:r>
              <w:rPr>
                <w:rFonts w:hint="eastAsia" w:ascii="仿宋" w:hAnsi="宋体" w:eastAsia="仿宋" w:cs="宋体"/>
                <w:sz w:val="24"/>
              </w:rPr>
              <w:t>夏装</w:t>
            </w:r>
          </w:p>
        </w:tc>
        <w:tc>
          <w:tcPr>
            <w:tcW w:w="780" w:type="dxa"/>
            <w:vAlign w:val="center"/>
          </w:tcPr>
          <w:p w14:paraId="664960F0">
            <w:pPr>
              <w:widowControl/>
              <w:jc w:val="center"/>
              <w:rPr>
                <w:rFonts w:hint="eastAsia" w:ascii="仿宋" w:hAnsi="宋体" w:eastAsia="仿宋" w:cs="宋体"/>
                <w:sz w:val="24"/>
              </w:rPr>
            </w:pPr>
            <w:r>
              <w:rPr>
                <w:rFonts w:hint="eastAsia" w:ascii="仿宋" w:hAnsi="宋体" w:eastAsia="仿宋" w:cs="宋体"/>
                <w:sz w:val="24"/>
              </w:rPr>
              <w:t>短袖T恤</w:t>
            </w:r>
          </w:p>
        </w:tc>
        <w:tc>
          <w:tcPr>
            <w:tcW w:w="2726" w:type="dxa"/>
            <w:vAlign w:val="center"/>
          </w:tcPr>
          <w:p w14:paraId="2818B500">
            <w:pPr>
              <w:jc w:val="center"/>
              <w:rPr>
                <w:rFonts w:hint="eastAsia" w:ascii="宋体" w:hAnsi="宋体" w:eastAsia="宋体" w:cs="宋体"/>
                <w:kern w:val="0"/>
                <w:sz w:val="24"/>
              </w:rPr>
            </w:pPr>
            <w:r>
              <w:rPr>
                <w:rFonts w:hint="eastAsia" w:ascii="宋体" w:hAnsi="宋体" w:eastAsia="宋体" w:cs="宋体"/>
                <w:kern w:val="0"/>
                <w:sz w:val="24"/>
              </w:rPr>
              <w:drawing>
                <wp:anchor distT="0" distB="0" distL="114300" distR="114300" simplePos="0" relativeHeight="251659264" behindDoc="0" locked="0" layoutInCell="1" allowOverlap="1">
                  <wp:simplePos x="0" y="0"/>
                  <wp:positionH relativeFrom="column">
                    <wp:posOffset>230505</wp:posOffset>
                  </wp:positionH>
                  <wp:positionV relativeFrom="paragraph">
                    <wp:posOffset>-34290</wp:posOffset>
                  </wp:positionV>
                  <wp:extent cx="1099820" cy="1132205"/>
                  <wp:effectExtent l="0" t="0" r="508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 cstate="print"/>
                          <a:srcRect/>
                          <a:stretch>
                            <a:fillRect/>
                          </a:stretch>
                        </pic:blipFill>
                        <pic:spPr>
                          <a:xfrm>
                            <a:off x="0" y="0"/>
                            <a:ext cx="1099820" cy="1132205"/>
                          </a:xfrm>
                          <a:prstGeom prst="rect">
                            <a:avLst/>
                          </a:prstGeom>
                          <a:noFill/>
                          <a:ln>
                            <a:noFill/>
                          </a:ln>
                          <a:effectLst/>
                        </pic:spPr>
                      </pic:pic>
                    </a:graphicData>
                  </a:graphic>
                </wp:anchor>
              </w:drawing>
            </w:r>
          </w:p>
        </w:tc>
        <w:tc>
          <w:tcPr>
            <w:tcW w:w="3716" w:type="dxa"/>
            <w:shd w:val="clear" w:color="auto" w:fill="auto"/>
            <w:vAlign w:val="center"/>
          </w:tcPr>
          <w:p w14:paraId="56E4845C">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规格：珠地网眼；60%棉40%聚酯纤维</w:t>
            </w:r>
          </w:p>
          <w:p w14:paraId="17B6A294">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克重：210g/㎡</w:t>
            </w:r>
          </w:p>
          <w:p w14:paraId="5487C37C">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颜色：</w:t>
            </w:r>
            <w:r>
              <w:rPr>
                <w:rFonts w:hint="eastAsia" w:ascii="仿宋" w:hAnsi="仿宋" w:eastAsia="仿宋"/>
                <w:color w:val="000000" w:themeColor="text1"/>
                <w:sz w:val="24"/>
                <w14:textFill>
                  <w14:solidFill>
                    <w14:schemeClr w14:val="tx1"/>
                  </w14:solidFill>
                </w14:textFill>
              </w:rPr>
              <w:t>整身浅蓝色</w:t>
            </w:r>
          </w:p>
          <w:p w14:paraId="77633CF7">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1.领座设计耐磨舒适 </w:t>
            </w:r>
          </w:p>
          <w:p w14:paraId="3526D687">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2.整体纯色设计简洁大气，符合学生日常活动场景</w:t>
            </w:r>
          </w:p>
        </w:tc>
      </w:tr>
      <w:tr w14:paraId="1D3D0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8" w:type="dxa"/>
            <w:vMerge w:val="continue"/>
            <w:vAlign w:val="center"/>
          </w:tcPr>
          <w:p w14:paraId="6F5988C6">
            <w:pPr>
              <w:ind w:firstLine="482"/>
              <w:jc w:val="center"/>
              <w:rPr>
                <w:rFonts w:hint="eastAsia" w:ascii="仿宋" w:hAnsi="宋体" w:eastAsia="仿宋" w:cs="宋体"/>
                <w:sz w:val="24"/>
              </w:rPr>
            </w:pPr>
          </w:p>
        </w:tc>
        <w:tc>
          <w:tcPr>
            <w:tcW w:w="780" w:type="dxa"/>
            <w:vAlign w:val="center"/>
          </w:tcPr>
          <w:p w14:paraId="58E0FF00">
            <w:pPr>
              <w:widowControl/>
              <w:jc w:val="center"/>
              <w:rPr>
                <w:rFonts w:hint="eastAsia" w:ascii="仿宋" w:hAnsi="宋体" w:eastAsia="仿宋" w:cs="宋体"/>
                <w:sz w:val="24"/>
              </w:rPr>
            </w:pPr>
            <w:r>
              <w:rPr>
                <w:rFonts w:hint="eastAsia" w:ascii="仿宋" w:hAnsi="宋体" w:eastAsia="仿宋" w:cs="宋体"/>
                <w:sz w:val="24"/>
              </w:rPr>
              <w:t>男短裤</w:t>
            </w:r>
          </w:p>
        </w:tc>
        <w:tc>
          <w:tcPr>
            <w:tcW w:w="2726" w:type="dxa"/>
            <w:vAlign w:val="center"/>
          </w:tcPr>
          <w:p w14:paraId="4AA39291">
            <w:pPr>
              <w:jc w:val="center"/>
              <w:rPr>
                <w:rFonts w:hint="eastAsia" w:ascii="宋体" w:hAnsi="宋体" w:eastAsia="宋体" w:cs="宋体"/>
                <w:sz w:val="24"/>
              </w:rPr>
            </w:pPr>
            <w:r>
              <w:rPr>
                <w:rFonts w:hint="eastAsia" w:ascii="仿宋" w:hAnsi="宋体" w:eastAsia="仿宋" w:cs="宋体"/>
                <w:sz w:val="24"/>
              </w:rPr>
              <w:drawing>
                <wp:anchor distT="0" distB="0" distL="114300" distR="114300" simplePos="0" relativeHeight="251663360" behindDoc="0" locked="0" layoutInCell="1" allowOverlap="1">
                  <wp:simplePos x="0" y="0"/>
                  <wp:positionH relativeFrom="column">
                    <wp:posOffset>231140</wp:posOffset>
                  </wp:positionH>
                  <wp:positionV relativeFrom="paragraph">
                    <wp:posOffset>-45085</wp:posOffset>
                  </wp:positionV>
                  <wp:extent cx="1105535" cy="1131570"/>
                  <wp:effectExtent l="0" t="0" r="0" b="0"/>
                  <wp:wrapNone/>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pic:cNvPicPr>
                            <a:picLocks noChangeAspect="1" noChangeArrowheads="1"/>
                          </pic:cNvPicPr>
                        </pic:nvPicPr>
                        <pic:blipFill>
                          <a:blip r:embed="rId5" cstate="print"/>
                          <a:srcRect/>
                          <a:stretch>
                            <a:fillRect/>
                          </a:stretch>
                        </pic:blipFill>
                        <pic:spPr>
                          <a:xfrm>
                            <a:off x="0" y="0"/>
                            <a:ext cx="1105535" cy="1131570"/>
                          </a:xfrm>
                          <a:prstGeom prst="rect">
                            <a:avLst/>
                          </a:prstGeom>
                          <a:noFill/>
                          <a:ln>
                            <a:noFill/>
                          </a:ln>
                          <a:effectLst/>
                        </pic:spPr>
                      </pic:pic>
                    </a:graphicData>
                  </a:graphic>
                </wp:anchor>
              </w:drawing>
            </w:r>
            <w:r>
              <w:rPr>
                <w:rFonts w:hint="eastAsia" w:ascii="宋体" w:hAnsi="宋体" w:eastAsia="宋体" w:cs="宋体"/>
                <w:sz w:val="24"/>
              </w:rPr>
              <w:drawing>
                <wp:anchor distT="0" distB="0" distL="114300" distR="114300" simplePos="0" relativeHeight="251662336" behindDoc="0" locked="0" layoutInCell="1" allowOverlap="1">
                  <wp:simplePos x="0" y="0"/>
                  <wp:positionH relativeFrom="column">
                    <wp:posOffset>2550160</wp:posOffset>
                  </wp:positionH>
                  <wp:positionV relativeFrom="paragraph">
                    <wp:posOffset>3164205</wp:posOffset>
                  </wp:positionV>
                  <wp:extent cx="1105535" cy="1131570"/>
                  <wp:effectExtent l="0" t="0" r="0" b="0"/>
                  <wp:wrapNone/>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noChangeArrowheads="1"/>
                          </pic:cNvPicPr>
                        </pic:nvPicPr>
                        <pic:blipFill>
                          <a:blip r:embed="rId5" cstate="print"/>
                          <a:srcRect/>
                          <a:stretch>
                            <a:fillRect/>
                          </a:stretch>
                        </pic:blipFill>
                        <pic:spPr>
                          <a:xfrm>
                            <a:off x="0" y="0"/>
                            <a:ext cx="1105535" cy="1131570"/>
                          </a:xfrm>
                          <a:prstGeom prst="rect">
                            <a:avLst/>
                          </a:prstGeom>
                          <a:noFill/>
                          <a:ln>
                            <a:noFill/>
                          </a:ln>
                          <a:effectLst/>
                        </pic:spPr>
                      </pic:pic>
                    </a:graphicData>
                  </a:graphic>
                </wp:anchor>
              </w:drawing>
            </w:r>
            <w:r>
              <w:rPr>
                <w:rFonts w:hint="eastAsia" w:ascii="宋体" w:hAnsi="宋体" w:eastAsia="宋体" w:cs="宋体"/>
                <w:sz w:val="24"/>
              </w:rPr>
              <w:drawing>
                <wp:anchor distT="0" distB="0" distL="114300" distR="114300" simplePos="0" relativeHeight="251661312" behindDoc="0" locked="0" layoutInCell="1" allowOverlap="1">
                  <wp:simplePos x="0" y="0"/>
                  <wp:positionH relativeFrom="column">
                    <wp:posOffset>2550160</wp:posOffset>
                  </wp:positionH>
                  <wp:positionV relativeFrom="paragraph">
                    <wp:posOffset>3164205</wp:posOffset>
                  </wp:positionV>
                  <wp:extent cx="1105535" cy="1131570"/>
                  <wp:effectExtent l="0" t="0" r="0" b="0"/>
                  <wp:wrapNone/>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noChangeArrowheads="1"/>
                          </pic:cNvPicPr>
                        </pic:nvPicPr>
                        <pic:blipFill>
                          <a:blip r:embed="rId5" cstate="print"/>
                          <a:srcRect/>
                          <a:stretch>
                            <a:fillRect/>
                          </a:stretch>
                        </pic:blipFill>
                        <pic:spPr>
                          <a:xfrm>
                            <a:off x="0" y="0"/>
                            <a:ext cx="1105535" cy="1131570"/>
                          </a:xfrm>
                          <a:prstGeom prst="rect">
                            <a:avLst/>
                          </a:prstGeom>
                          <a:noFill/>
                          <a:ln>
                            <a:noFill/>
                          </a:ln>
                          <a:effectLst/>
                        </pic:spPr>
                      </pic:pic>
                    </a:graphicData>
                  </a:graphic>
                </wp:anchor>
              </w:drawing>
            </w:r>
            <w:r>
              <w:rPr>
                <w:rFonts w:hint="eastAsia" w:ascii="宋体" w:hAnsi="宋体" w:eastAsia="宋体" w:cs="宋体"/>
                <w:sz w:val="24"/>
              </w:rPr>
              <w:drawing>
                <wp:anchor distT="0" distB="0" distL="114300" distR="114300" simplePos="0" relativeHeight="251660288" behindDoc="0" locked="0" layoutInCell="1" allowOverlap="1">
                  <wp:simplePos x="0" y="0"/>
                  <wp:positionH relativeFrom="column">
                    <wp:posOffset>2550160</wp:posOffset>
                  </wp:positionH>
                  <wp:positionV relativeFrom="paragraph">
                    <wp:posOffset>3164205</wp:posOffset>
                  </wp:positionV>
                  <wp:extent cx="1105535" cy="1131570"/>
                  <wp:effectExtent l="0" t="0" r="0" b="0"/>
                  <wp:wrapNone/>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noChangeArrowheads="1"/>
                          </pic:cNvPicPr>
                        </pic:nvPicPr>
                        <pic:blipFill>
                          <a:blip r:embed="rId5" cstate="print"/>
                          <a:srcRect/>
                          <a:stretch>
                            <a:fillRect/>
                          </a:stretch>
                        </pic:blipFill>
                        <pic:spPr>
                          <a:xfrm>
                            <a:off x="0" y="0"/>
                            <a:ext cx="1105535" cy="1131570"/>
                          </a:xfrm>
                          <a:prstGeom prst="rect">
                            <a:avLst/>
                          </a:prstGeom>
                          <a:noFill/>
                          <a:ln>
                            <a:noFill/>
                          </a:ln>
                          <a:effectLst/>
                        </pic:spPr>
                      </pic:pic>
                    </a:graphicData>
                  </a:graphic>
                </wp:anchor>
              </w:drawing>
            </w:r>
          </w:p>
        </w:tc>
        <w:tc>
          <w:tcPr>
            <w:tcW w:w="3716" w:type="dxa"/>
            <w:shd w:val="clear" w:color="auto" w:fill="auto"/>
            <w:vAlign w:val="center"/>
          </w:tcPr>
          <w:p w14:paraId="003AB047">
            <w:pPr>
              <w:widowControl/>
              <w:jc w:val="left"/>
              <w:rPr>
                <w:rFonts w:hint="eastAsia" w:ascii="仿宋" w:hAnsi="仿宋" w:eastAsia="仿宋"/>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规格：斜纹纱卡 57%棉40%聚酯纤维 3%氨纶</w:t>
            </w:r>
          </w:p>
          <w:p w14:paraId="668940F9">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克重：175g/㎡</w:t>
            </w:r>
          </w:p>
          <w:p w14:paraId="3A8E7E9B">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颜色：</w:t>
            </w:r>
            <w:r>
              <w:rPr>
                <w:rFonts w:hint="eastAsia" w:ascii="仿宋" w:hAnsi="仿宋" w:eastAsia="仿宋"/>
                <w:color w:val="000000" w:themeColor="text1"/>
                <w:sz w:val="24"/>
                <w14:textFill>
                  <w14:solidFill>
                    <w14:schemeClr w14:val="tx1"/>
                  </w14:solidFill>
                </w14:textFill>
              </w:rPr>
              <w:t>整身藏青色</w:t>
            </w:r>
          </w:p>
          <w:p w14:paraId="079BC2A0">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1.连腰全松紧，更加舒适，便于穿脱。</w:t>
            </w:r>
          </w:p>
          <w:p w14:paraId="7D861E15">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2.侧边工装口袋设计，增加收纳空间。</w:t>
            </w:r>
          </w:p>
        </w:tc>
      </w:tr>
      <w:tr w14:paraId="6F947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8" w:type="dxa"/>
            <w:vMerge w:val="continue"/>
            <w:vAlign w:val="center"/>
          </w:tcPr>
          <w:p w14:paraId="485DCEC0">
            <w:pPr>
              <w:ind w:firstLine="482"/>
              <w:jc w:val="center"/>
              <w:rPr>
                <w:rFonts w:hint="eastAsia" w:ascii="仿宋" w:hAnsi="宋体" w:eastAsia="仿宋" w:cs="宋体"/>
                <w:sz w:val="24"/>
              </w:rPr>
            </w:pPr>
          </w:p>
        </w:tc>
        <w:tc>
          <w:tcPr>
            <w:tcW w:w="780" w:type="dxa"/>
            <w:vAlign w:val="center"/>
          </w:tcPr>
          <w:p w14:paraId="51D167BA">
            <w:pPr>
              <w:widowControl/>
              <w:jc w:val="center"/>
              <w:rPr>
                <w:rFonts w:hint="eastAsia" w:ascii="仿宋" w:hAnsi="宋体" w:eastAsia="仿宋" w:cs="宋体"/>
                <w:sz w:val="24"/>
              </w:rPr>
            </w:pPr>
            <w:r>
              <w:rPr>
                <w:rFonts w:hint="eastAsia" w:ascii="仿宋" w:hAnsi="宋体" w:eastAsia="仿宋" w:cs="宋体"/>
                <w:sz w:val="24"/>
              </w:rPr>
              <w:t>女裙裤</w:t>
            </w:r>
          </w:p>
        </w:tc>
        <w:tc>
          <w:tcPr>
            <w:tcW w:w="2726" w:type="dxa"/>
            <w:vAlign w:val="center"/>
          </w:tcPr>
          <w:p w14:paraId="69852B73">
            <w:pPr>
              <w:jc w:val="center"/>
              <w:rPr>
                <w:rFonts w:hint="eastAsia" w:ascii="宋体" w:hAnsi="宋体" w:eastAsia="宋体" w:cs="宋体"/>
                <w:sz w:val="24"/>
              </w:rPr>
            </w:pPr>
            <w:r>
              <w:rPr>
                <w:rFonts w:hint="eastAsia" w:ascii="宋体" w:hAnsi="宋体" w:eastAsia="宋体" w:cs="宋体"/>
                <w:sz w:val="24"/>
              </w:rPr>
              <w:drawing>
                <wp:anchor distT="0" distB="0" distL="114300" distR="114300" simplePos="0" relativeHeight="251664384" behindDoc="0" locked="0" layoutInCell="1" allowOverlap="1">
                  <wp:simplePos x="0" y="0"/>
                  <wp:positionH relativeFrom="column">
                    <wp:posOffset>239395</wp:posOffset>
                  </wp:positionH>
                  <wp:positionV relativeFrom="paragraph">
                    <wp:posOffset>46355</wp:posOffset>
                  </wp:positionV>
                  <wp:extent cx="1165225" cy="1074420"/>
                  <wp:effectExtent l="0" t="0" r="0" b="0"/>
                  <wp:wrapNone/>
                  <wp:docPr id="1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pic:cNvPicPr>
                            <a:picLocks noChangeAspect="1" noChangeArrowheads="1"/>
                          </pic:cNvPicPr>
                        </pic:nvPicPr>
                        <pic:blipFill>
                          <a:blip r:embed="rId6"/>
                          <a:srcRect/>
                          <a:stretch>
                            <a:fillRect/>
                          </a:stretch>
                        </pic:blipFill>
                        <pic:spPr>
                          <a:xfrm>
                            <a:off x="0" y="0"/>
                            <a:ext cx="1165225" cy="1074420"/>
                          </a:xfrm>
                          <a:prstGeom prst="rect">
                            <a:avLst/>
                          </a:prstGeom>
                          <a:noFill/>
                          <a:ln>
                            <a:noFill/>
                          </a:ln>
                          <a:effectLst/>
                        </pic:spPr>
                      </pic:pic>
                    </a:graphicData>
                  </a:graphic>
                </wp:anchor>
              </w:drawing>
            </w:r>
          </w:p>
        </w:tc>
        <w:tc>
          <w:tcPr>
            <w:tcW w:w="3716" w:type="dxa"/>
            <w:shd w:val="clear" w:color="auto" w:fill="auto"/>
            <w:vAlign w:val="center"/>
          </w:tcPr>
          <w:p w14:paraId="34E0D5A9">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规格：斜纹纱卡 57%棉40%聚酯纤维 3%氨纶</w:t>
            </w:r>
          </w:p>
          <w:p w14:paraId="30718A0A">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克重：175g/㎡</w:t>
            </w:r>
          </w:p>
          <w:p w14:paraId="0EC96CB7">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颜色：</w:t>
            </w:r>
            <w:r>
              <w:rPr>
                <w:rFonts w:hint="eastAsia" w:ascii="仿宋" w:hAnsi="仿宋" w:eastAsia="仿宋"/>
                <w:color w:val="000000" w:themeColor="text1"/>
                <w:sz w:val="24"/>
                <w14:textFill>
                  <w14:solidFill>
                    <w14:schemeClr w14:val="tx1"/>
                  </w14:solidFill>
                </w14:textFill>
              </w:rPr>
              <w:t>整身藏青色</w:t>
            </w:r>
          </w:p>
          <w:p w14:paraId="605C5C1B">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1.松紧腰头，更加舒适方便。</w:t>
            </w:r>
          </w:p>
          <w:p w14:paraId="5246576B">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2.前裙后裤设计，增加隐私功能。</w:t>
            </w:r>
          </w:p>
        </w:tc>
      </w:tr>
      <w:tr w14:paraId="706E3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atLeast"/>
          <w:jc w:val="center"/>
        </w:trPr>
        <w:tc>
          <w:tcPr>
            <w:tcW w:w="458" w:type="dxa"/>
            <w:vMerge w:val="restart"/>
            <w:vAlign w:val="center"/>
          </w:tcPr>
          <w:p w14:paraId="2D5A0FCB">
            <w:pPr>
              <w:jc w:val="center"/>
              <w:rPr>
                <w:rFonts w:hint="eastAsia" w:ascii="仿宋" w:hAnsi="宋体" w:eastAsia="仿宋" w:cs="宋体"/>
                <w:sz w:val="24"/>
              </w:rPr>
            </w:pPr>
            <w:r>
              <w:rPr>
                <w:rFonts w:hint="eastAsia" w:ascii="仿宋" w:hAnsi="宋体" w:eastAsia="仿宋" w:cs="宋体"/>
                <w:sz w:val="24"/>
              </w:rPr>
              <w:t>春秋装</w:t>
            </w:r>
          </w:p>
        </w:tc>
        <w:tc>
          <w:tcPr>
            <w:tcW w:w="780" w:type="dxa"/>
            <w:vAlign w:val="center"/>
          </w:tcPr>
          <w:p w14:paraId="731CA39A">
            <w:pPr>
              <w:widowControl/>
              <w:jc w:val="center"/>
              <w:rPr>
                <w:rFonts w:hint="eastAsia" w:ascii="仿宋" w:hAnsi="宋体" w:eastAsia="仿宋" w:cs="宋体"/>
                <w:sz w:val="24"/>
              </w:rPr>
            </w:pPr>
            <w:r>
              <w:rPr>
                <w:rFonts w:hint="eastAsia" w:ascii="仿宋" w:hAnsi="宋体" w:eastAsia="仿宋" w:cs="宋体"/>
                <w:sz w:val="24"/>
              </w:rPr>
              <w:t>运动上衣</w:t>
            </w:r>
          </w:p>
        </w:tc>
        <w:tc>
          <w:tcPr>
            <w:tcW w:w="2726" w:type="dxa"/>
            <w:vAlign w:val="center"/>
          </w:tcPr>
          <w:p w14:paraId="2CBD4860">
            <w:pPr>
              <w:jc w:val="center"/>
              <w:rPr>
                <w:rFonts w:hint="eastAsia" w:ascii="宋体" w:hAnsi="宋体" w:eastAsia="宋体" w:cs="宋体"/>
                <w:sz w:val="24"/>
              </w:rPr>
            </w:pPr>
            <w:r>
              <w:rPr>
                <w:rFonts w:hint="eastAsia" w:ascii="宋体" w:hAnsi="宋体" w:eastAsia="宋体" w:cs="宋体"/>
                <w:sz w:val="24"/>
              </w:rPr>
              <w:drawing>
                <wp:anchor distT="0" distB="0" distL="114300" distR="114300" simplePos="0" relativeHeight="251665408" behindDoc="0" locked="0" layoutInCell="1" allowOverlap="1">
                  <wp:simplePos x="0" y="0"/>
                  <wp:positionH relativeFrom="column">
                    <wp:posOffset>262255</wp:posOffset>
                  </wp:positionH>
                  <wp:positionV relativeFrom="paragraph">
                    <wp:posOffset>12065</wp:posOffset>
                  </wp:positionV>
                  <wp:extent cx="1061085" cy="1095375"/>
                  <wp:effectExtent l="0" t="0" r="5715" b="9525"/>
                  <wp:wrapNone/>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noChangeArrowheads="1"/>
                          </pic:cNvPicPr>
                        </pic:nvPicPr>
                        <pic:blipFill>
                          <a:blip r:embed="rId7" cstate="print"/>
                          <a:srcRect/>
                          <a:stretch>
                            <a:fillRect/>
                          </a:stretch>
                        </pic:blipFill>
                        <pic:spPr>
                          <a:xfrm>
                            <a:off x="0" y="0"/>
                            <a:ext cx="1061085" cy="1095375"/>
                          </a:xfrm>
                          <a:prstGeom prst="rect">
                            <a:avLst/>
                          </a:prstGeom>
                          <a:noFill/>
                          <a:ln>
                            <a:noFill/>
                          </a:ln>
                          <a:effectLst/>
                        </pic:spPr>
                      </pic:pic>
                    </a:graphicData>
                  </a:graphic>
                </wp:anchor>
              </w:drawing>
            </w:r>
          </w:p>
        </w:tc>
        <w:tc>
          <w:tcPr>
            <w:tcW w:w="3716" w:type="dxa"/>
            <w:vMerge w:val="restart"/>
            <w:shd w:val="clear" w:color="auto" w:fill="auto"/>
            <w:vAlign w:val="center"/>
          </w:tcPr>
          <w:p w14:paraId="748E6769">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规格：空气层 60%棉 40%聚酯纤维</w:t>
            </w:r>
          </w:p>
          <w:p w14:paraId="16220D80">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克重：300g/㎡</w:t>
            </w:r>
          </w:p>
          <w:p w14:paraId="336C9FC6">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颜色：</w:t>
            </w:r>
            <w:r>
              <w:rPr>
                <w:rFonts w:hint="eastAsia" w:ascii="仿宋" w:hAnsi="仿宋" w:eastAsia="仿宋"/>
                <w:color w:val="000000" w:themeColor="text1"/>
                <w:sz w:val="24"/>
                <w14:textFill>
                  <w14:solidFill>
                    <w14:schemeClr w14:val="tx1"/>
                  </w14:solidFill>
                </w14:textFill>
              </w:rPr>
              <w:t>上衣藏青色大身，麻灰色袖子，麻灰色口袋边</w:t>
            </w:r>
          </w:p>
          <w:p w14:paraId="693A3237">
            <w:pPr>
              <w:widowControl/>
              <w:jc w:val="left"/>
              <w:rPr>
                <w:rFonts w:hint="eastAsia" w:ascii="仿宋" w:hAnsi="仿宋" w:eastAsia="仿宋" w:cs="宋体"/>
                <w:color w:val="000000" w:themeColor="text1"/>
                <w:sz w:val="24"/>
                <w:lang w:val="zh-CN"/>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规格：</w:t>
            </w:r>
            <w:r>
              <w:rPr>
                <w:rFonts w:hint="eastAsia" w:ascii="仿宋" w:hAnsi="仿宋" w:eastAsia="仿宋" w:cs="宋体"/>
                <w:color w:val="000000" w:themeColor="text1"/>
                <w:sz w:val="24"/>
                <w:lang w:val="zh-CN"/>
                <w14:textFill>
                  <w14:solidFill>
                    <w14:schemeClr w14:val="tx1"/>
                  </w14:solidFill>
                </w14:textFill>
              </w:rPr>
              <w:t>空气层</w:t>
            </w:r>
            <w:r>
              <w:rPr>
                <w:rFonts w:hint="eastAsia" w:ascii="仿宋" w:hAnsi="仿宋" w:eastAsia="仿宋" w:cs="宋体"/>
                <w:color w:val="000000" w:themeColor="text1"/>
                <w:sz w:val="24"/>
                <w14:textFill>
                  <w14:solidFill>
                    <w14:schemeClr w14:val="tx1"/>
                  </w14:solidFill>
                </w14:textFill>
              </w:rPr>
              <w:t>棉毛布；</w:t>
            </w:r>
            <w:r>
              <w:rPr>
                <w:rFonts w:hint="eastAsia" w:ascii="仿宋" w:hAnsi="仿宋" w:eastAsia="仿宋" w:cs="宋体"/>
                <w:color w:val="000000" w:themeColor="text1"/>
                <w:sz w:val="24"/>
                <w:lang w:val="zh-CN"/>
                <w14:textFill>
                  <w14:solidFill>
                    <w14:schemeClr w14:val="tx1"/>
                  </w14:solidFill>
                </w14:textFill>
              </w:rPr>
              <w:t>60%棉40%聚酯纤维</w:t>
            </w:r>
          </w:p>
          <w:p w14:paraId="78A5462A">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克重：300g/㎡</w:t>
            </w:r>
          </w:p>
          <w:p w14:paraId="77819F75">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颜色：</w:t>
            </w:r>
            <w:r>
              <w:rPr>
                <w:rFonts w:hint="eastAsia" w:ascii="仿宋" w:hAnsi="仿宋" w:eastAsia="仿宋"/>
                <w:color w:val="000000" w:themeColor="text1"/>
                <w:sz w:val="24"/>
                <w14:textFill>
                  <w14:solidFill>
                    <w14:schemeClr w14:val="tx1"/>
                  </w14:solidFill>
                </w14:textFill>
              </w:rPr>
              <w:t>裤子整身藏青色</w:t>
            </w:r>
          </w:p>
          <w:p w14:paraId="42CF426A">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1.运动上衣采用夹色螺纹设计，耐磨耐脏又亲肤舒适，撞色的设计凸显青春运动感。</w:t>
            </w:r>
          </w:p>
          <w:p w14:paraId="2433C08A">
            <w:pPr>
              <w:widowControl/>
              <w:jc w:val="left"/>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2.运动裤采用全松紧腰头，便于穿脱。</w:t>
            </w:r>
          </w:p>
        </w:tc>
      </w:tr>
      <w:tr w14:paraId="47978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6" w:hRule="atLeast"/>
          <w:jc w:val="center"/>
        </w:trPr>
        <w:tc>
          <w:tcPr>
            <w:tcW w:w="458" w:type="dxa"/>
            <w:vMerge w:val="continue"/>
            <w:vAlign w:val="center"/>
          </w:tcPr>
          <w:p w14:paraId="4EDDAEE2">
            <w:pPr>
              <w:ind w:firstLine="482"/>
              <w:jc w:val="center"/>
              <w:rPr>
                <w:rFonts w:hint="eastAsia" w:ascii="仿宋" w:hAnsi="宋体" w:eastAsia="仿宋" w:cs="宋体"/>
                <w:sz w:val="24"/>
              </w:rPr>
            </w:pPr>
          </w:p>
        </w:tc>
        <w:tc>
          <w:tcPr>
            <w:tcW w:w="780" w:type="dxa"/>
            <w:vAlign w:val="center"/>
          </w:tcPr>
          <w:p w14:paraId="298AEEFE">
            <w:pPr>
              <w:widowControl/>
              <w:jc w:val="center"/>
              <w:rPr>
                <w:rFonts w:hint="eastAsia" w:ascii="仿宋" w:hAnsi="宋体" w:eastAsia="仿宋" w:cs="宋体"/>
                <w:sz w:val="24"/>
              </w:rPr>
            </w:pPr>
            <w:r>
              <w:rPr>
                <w:rFonts w:hint="eastAsia" w:ascii="仿宋" w:hAnsi="宋体" w:eastAsia="仿宋" w:cs="宋体"/>
                <w:sz w:val="24"/>
              </w:rPr>
              <w:t>运动裤</w:t>
            </w:r>
          </w:p>
        </w:tc>
        <w:tc>
          <w:tcPr>
            <w:tcW w:w="2726" w:type="dxa"/>
            <w:vAlign w:val="center"/>
          </w:tcPr>
          <w:p w14:paraId="51FF4669">
            <w:pPr>
              <w:jc w:val="center"/>
              <w:rPr>
                <w:rFonts w:hint="eastAsia" w:ascii="宋体" w:hAnsi="宋体" w:eastAsia="宋体" w:cs="宋体"/>
                <w:sz w:val="24"/>
              </w:rPr>
            </w:pPr>
            <w:r>
              <w:rPr>
                <w:rFonts w:hint="eastAsia" w:ascii="宋体" w:hAnsi="宋体" w:eastAsia="宋体" w:cs="宋体"/>
                <w:sz w:val="24"/>
              </w:rPr>
              <w:drawing>
                <wp:anchor distT="0" distB="0" distL="114300" distR="114300" simplePos="0" relativeHeight="251670528" behindDoc="0" locked="0" layoutInCell="1" allowOverlap="1">
                  <wp:simplePos x="0" y="0"/>
                  <wp:positionH relativeFrom="column">
                    <wp:posOffset>353060</wp:posOffset>
                  </wp:positionH>
                  <wp:positionV relativeFrom="paragraph">
                    <wp:posOffset>12700</wp:posOffset>
                  </wp:positionV>
                  <wp:extent cx="832485" cy="1299210"/>
                  <wp:effectExtent l="0" t="0" r="5715" b="0"/>
                  <wp:wrapNone/>
                  <wp:docPr id="2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4"/>
                          <pic:cNvPicPr>
                            <a:picLocks noChangeAspect="1" noChangeArrowheads="1"/>
                          </pic:cNvPicPr>
                        </pic:nvPicPr>
                        <pic:blipFill>
                          <a:blip r:embed="rId8"/>
                          <a:srcRect/>
                          <a:stretch>
                            <a:fillRect/>
                          </a:stretch>
                        </pic:blipFill>
                        <pic:spPr>
                          <a:xfrm>
                            <a:off x="0" y="0"/>
                            <a:ext cx="832485" cy="1299210"/>
                          </a:xfrm>
                          <a:prstGeom prst="rect">
                            <a:avLst/>
                          </a:prstGeom>
                          <a:noFill/>
                          <a:ln>
                            <a:noFill/>
                          </a:ln>
                          <a:effectLst/>
                        </pic:spPr>
                      </pic:pic>
                    </a:graphicData>
                  </a:graphic>
                </wp:anchor>
              </w:drawing>
            </w:r>
            <w:r>
              <w:rPr>
                <w:rFonts w:hint="eastAsia" w:ascii="宋体" w:hAnsi="宋体" w:eastAsia="宋体" w:cs="宋体"/>
                <w:sz w:val="24"/>
              </w:rPr>
              <w:drawing>
                <wp:anchor distT="0" distB="0" distL="114300" distR="114300" simplePos="0" relativeHeight="251668480" behindDoc="0" locked="0" layoutInCell="1" allowOverlap="1">
                  <wp:simplePos x="0" y="0"/>
                  <wp:positionH relativeFrom="column">
                    <wp:posOffset>2659380</wp:posOffset>
                  </wp:positionH>
                  <wp:positionV relativeFrom="paragraph">
                    <wp:posOffset>7574915</wp:posOffset>
                  </wp:positionV>
                  <wp:extent cx="832485" cy="1299210"/>
                  <wp:effectExtent l="0" t="0" r="5715" b="0"/>
                  <wp:wrapNone/>
                  <wp:docPr id="2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2"/>
                          <pic:cNvPicPr>
                            <a:picLocks noChangeAspect="1" noChangeArrowheads="1"/>
                          </pic:cNvPicPr>
                        </pic:nvPicPr>
                        <pic:blipFill>
                          <a:blip r:embed="rId8"/>
                          <a:srcRect/>
                          <a:stretch>
                            <a:fillRect/>
                          </a:stretch>
                        </pic:blipFill>
                        <pic:spPr>
                          <a:xfrm>
                            <a:off x="0" y="0"/>
                            <a:ext cx="832485" cy="1299210"/>
                          </a:xfrm>
                          <a:prstGeom prst="rect">
                            <a:avLst/>
                          </a:prstGeom>
                          <a:noFill/>
                          <a:ln>
                            <a:noFill/>
                          </a:ln>
                          <a:effectLst/>
                        </pic:spPr>
                      </pic:pic>
                    </a:graphicData>
                  </a:graphic>
                </wp:anchor>
              </w:drawing>
            </w:r>
            <w:r>
              <w:rPr>
                <w:rFonts w:hint="eastAsia" w:ascii="宋体" w:hAnsi="宋体" w:eastAsia="宋体" w:cs="宋体"/>
                <w:sz w:val="24"/>
              </w:rPr>
              <w:drawing>
                <wp:anchor distT="0" distB="0" distL="114300" distR="114300" simplePos="0" relativeHeight="251667456" behindDoc="0" locked="0" layoutInCell="1" allowOverlap="1">
                  <wp:simplePos x="0" y="0"/>
                  <wp:positionH relativeFrom="column">
                    <wp:posOffset>2659380</wp:posOffset>
                  </wp:positionH>
                  <wp:positionV relativeFrom="paragraph">
                    <wp:posOffset>7574915</wp:posOffset>
                  </wp:positionV>
                  <wp:extent cx="832485" cy="1299210"/>
                  <wp:effectExtent l="0" t="0" r="5715" b="0"/>
                  <wp:wrapNone/>
                  <wp:docPr id="2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1"/>
                          <pic:cNvPicPr>
                            <a:picLocks noChangeAspect="1" noChangeArrowheads="1"/>
                          </pic:cNvPicPr>
                        </pic:nvPicPr>
                        <pic:blipFill>
                          <a:blip r:embed="rId8"/>
                          <a:srcRect/>
                          <a:stretch>
                            <a:fillRect/>
                          </a:stretch>
                        </pic:blipFill>
                        <pic:spPr>
                          <a:xfrm>
                            <a:off x="0" y="0"/>
                            <a:ext cx="832485" cy="1299210"/>
                          </a:xfrm>
                          <a:prstGeom prst="rect">
                            <a:avLst/>
                          </a:prstGeom>
                          <a:noFill/>
                          <a:ln>
                            <a:noFill/>
                          </a:ln>
                          <a:effectLst/>
                        </pic:spPr>
                      </pic:pic>
                    </a:graphicData>
                  </a:graphic>
                </wp:anchor>
              </w:drawing>
            </w:r>
            <w:r>
              <w:rPr>
                <w:rFonts w:hint="eastAsia" w:ascii="宋体" w:hAnsi="宋体" w:eastAsia="宋体" w:cs="宋体"/>
                <w:sz w:val="24"/>
              </w:rPr>
              <w:drawing>
                <wp:anchor distT="0" distB="0" distL="114300" distR="114300" simplePos="0" relativeHeight="251666432" behindDoc="0" locked="0" layoutInCell="1" allowOverlap="1">
                  <wp:simplePos x="0" y="0"/>
                  <wp:positionH relativeFrom="column">
                    <wp:posOffset>2659380</wp:posOffset>
                  </wp:positionH>
                  <wp:positionV relativeFrom="paragraph">
                    <wp:posOffset>7574915</wp:posOffset>
                  </wp:positionV>
                  <wp:extent cx="832485" cy="1299210"/>
                  <wp:effectExtent l="0" t="0" r="5715" b="0"/>
                  <wp:wrapNone/>
                  <wp:docPr id="3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0"/>
                          <pic:cNvPicPr>
                            <a:picLocks noChangeAspect="1" noChangeArrowheads="1"/>
                          </pic:cNvPicPr>
                        </pic:nvPicPr>
                        <pic:blipFill>
                          <a:blip r:embed="rId8"/>
                          <a:srcRect/>
                          <a:stretch>
                            <a:fillRect/>
                          </a:stretch>
                        </pic:blipFill>
                        <pic:spPr>
                          <a:xfrm>
                            <a:off x="0" y="0"/>
                            <a:ext cx="832485" cy="1299210"/>
                          </a:xfrm>
                          <a:prstGeom prst="rect">
                            <a:avLst/>
                          </a:prstGeom>
                          <a:noFill/>
                          <a:ln>
                            <a:noFill/>
                          </a:ln>
                          <a:effectLst/>
                        </pic:spPr>
                      </pic:pic>
                    </a:graphicData>
                  </a:graphic>
                </wp:anchor>
              </w:drawing>
            </w:r>
          </w:p>
        </w:tc>
        <w:tc>
          <w:tcPr>
            <w:tcW w:w="3716" w:type="dxa"/>
            <w:vMerge w:val="continue"/>
            <w:vAlign w:val="center"/>
          </w:tcPr>
          <w:p w14:paraId="493D1691">
            <w:pPr>
              <w:widowControl/>
              <w:jc w:val="left"/>
              <w:rPr>
                <w:rFonts w:hint="eastAsia" w:ascii="仿宋" w:hAnsi="宋体" w:eastAsia="仿宋" w:cs="宋体"/>
                <w:sz w:val="24"/>
              </w:rPr>
            </w:pPr>
          </w:p>
        </w:tc>
      </w:tr>
      <w:tr w14:paraId="010F9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2" w:hRule="atLeast"/>
          <w:jc w:val="center"/>
        </w:trPr>
        <w:tc>
          <w:tcPr>
            <w:tcW w:w="458" w:type="dxa"/>
            <w:vAlign w:val="center"/>
          </w:tcPr>
          <w:p w14:paraId="1BE84E9F">
            <w:pPr>
              <w:jc w:val="center"/>
              <w:rPr>
                <w:rFonts w:hint="eastAsia" w:ascii="仿宋" w:hAnsi="宋体" w:eastAsia="仿宋" w:cs="宋体"/>
                <w:sz w:val="24"/>
              </w:rPr>
            </w:pPr>
            <w:r>
              <w:rPr>
                <w:rFonts w:hint="eastAsia" w:ascii="仿宋" w:hAnsi="宋体" w:eastAsia="仿宋" w:cs="宋体"/>
                <w:sz w:val="24"/>
              </w:rPr>
              <w:t>校徽参考</w:t>
            </w:r>
          </w:p>
        </w:tc>
        <w:tc>
          <w:tcPr>
            <w:tcW w:w="7222" w:type="dxa"/>
            <w:gridSpan w:val="3"/>
            <w:vAlign w:val="center"/>
          </w:tcPr>
          <w:p w14:paraId="3A1CE1CF">
            <w:pPr>
              <w:jc w:val="center"/>
              <w:rPr>
                <w:rFonts w:hint="eastAsia" w:ascii="仿宋" w:hAnsi="宋体" w:eastAsia="仿宋" w:cs="宋体"/>
                <w:sz w:val="24"/>
              </w:rPr>
            </w:pPr>
            <w:r>
              <w:drawing>
                <wp:inline distT="0" distB="0" distL="0" distR="0">
                  <wp:extent cx="1148080" cy="1148080"/>
                  <wp:effectExtent l="0" t="0" r="0" b="0"/>
                  <wp:docPr id="3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5"/>
                          <pic:cNvPicPr>
                            <a:picLocks noChangeAspect="1" noChangeArrowheads="1"/>
                          </pic:cNvPicPr>
                        </pic:nvPicPr>
                        <pic:blipFill>
                          <a:blip r:embed="rId9" cstate="print"/>
                          <a:srcRect/>
                          <a:stretch>
                            <a:fillRect/>
                          </a:stretch>
                        </pic:blipFill>
                        <pic:spPr>
                          <a:xfrm>
                            <a:off x="0" y="0"/>
                            <a:ext cx="1158335" cy="1158335"/>
                          </a:xfrm>
                          <a:prstGeom prst="rect">
                            <a:avLst/>
                          </a:prstGeom>
                          <a:noFill/>
                          <a:ln>
                            <a:noFill/>
                          </a:ln>
                        </pic:spPr>
                      </pic:pic>
                    </a:graphicData>
                  </a:graphic>
                </wp:inline>
              </w:drawing>
            </w:r>
            <w:r>
              <w:rPr>
                <w:rFonts w:hint="eastAsia" w:ascii="仿宋" w:hAnsi="宋体" w:eastAsia="仿宋" w:cs="宋体"/>
                <w:sz w:val="24"/>
              </w:rPr>
              <w:drawing>
                <wp:anchor distT="0" distB="0" distL="114300" distR="114300" simplePos="0" relativeHeight="251669504" behindDoc="0" locked="0" layoutInCell="1" allowOverlap="1">
                  <wp:simplePos x="0" y="0"/>
                  <wp:positionH relativeFrom="column">
                    <wp:posOffset>2659380</wp:posOffset>
                  </wp:positionH>
                  <wp:positionV relativeFrom="paragraph">
                    <wp:posOffset>7574915</wp:posOffset>
                  </wp:positionV>
                  <wp:extent cx="832485" cy="1299210"/>
                  <wp:effectExtent l="0" t="0" r="5715" b="0"/>
                  <wp:wrapNone/>
                  <wp:docPr id="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3"/>
                          <pic:cNvPicPr>
                            <a:picLocks noChangeAspect="1" noChangeArrowheads="1"/>
                          </pic:cNvPicPr>
                        </pic:nvPicPr>
                        <pic:blipFill>
                          <a:blip r:embed="rId8"/>
                          <a:srcRect/>
                          <a:stretch>
                            <a:fillRect/>
                          </a:stretch>
                        </pic:blipFill>
                        <pic:spPr>
                          <a:xfrm>
                            <a:off x="0" y="0"/>
                            <a:ext cx="832485" cy="1299210"/>
                          </a:xfrm>
                          <a:prstGeom prst="rect">
                            <a:avLst/>
                          </a:prstGeom>
                          <a:noFill/>
                          <a:ln>
                            <a:noFill/>
                          </a:ln>
                          <a:effectLst/>
                        </pic:spPr>
                      </pic:pic>
                    </a:graphicData>
                  </a:graphic>
                </wp:anchor>
              </w:drawing>
            </w:r>
          </w:p>
        </w:tc>
      </w:tr>
    </w:tbl>
    <w:p w14:paraId="4E1E8619">
      <w:pPr>
        <w:spacing w:before="200" w:after="100"/>
        <w:jc w:val="left"/>
        <w:outlineLvl w:val="1"/>
        <w:rPr>
          <w:rFonts w:hint="eastAsia" w:ascii="楷体" w:hAnsi="宋体" w:eastAsia="楷体" w:cs="宋体"/>
          <w:sz w:val="32"/>
        </w:rPr>
      </w:pPr>
      <w:r>
        <w:rPr>
          <w:rFonts w:hint="eastAsia" w:ascii="楷体" w:hAnsi="宋体" w:eastAsia="楷体" w:cs="宋体"/>
          <w:sz w:val="32"/>
        </w:rPr>
        <w:t>（四）材质与安全标准</w:t>
      </w:r>
    </w:p>
    <w:p w14:paraId="040B522A">
      <w:pPr>
        <w:ind w:firstLine="482"/>
        <w:jc w:val="left"/>
        <w:rPr>
          <w:rFonts w:hint="eastAsia" w:ascii="仿宋" w:hAnsi="宋体" w:eastAsia="仿宋" w:cs="宋体"/>
          <w:sz w:val="24"/>
        </w:rPr>
      </w:pPr>
      <w:r>
        <w:rPr>
          <w:rFonts w:hint="eastAsia" w:ascii="仿宋" w:hAnsi="宋体" w:eastAsia="仿宋" w:cs="宋体"/>
          <w:sz w:val="24"/>
        </w:rPr>
        <w:t>（1）安全质量规范</w:t>
      </w:r>
    </w:p>
    <w:p w14:paraId="415BD579">
      <w:pPr>
        <w:ind w:firstLine="482"/>
        <w:jc w:val="left"/>
        <w:rPr>
          <w:rFonts w:hint="eastAsia" w:ascii="仿宋" w:hAnsi="宋体" w:eastAsia="仿宋" w:cs="宋体"/>
          <w:sz w:val="24"/>
        </w:rPr>
      </w:pPr>
      <w:r>
        <w:rPr>
          <w:rFonts w:ascii="仿宋" w:hAnsi="宋体" w:eastAsia="仿宋" w:cs="宋体"/>
          <w:sz w:val="24"/>
        </w:rPr>
        <w:t>选用</w:t>
      </w:r>
      <w:r>
        <w:rPr>
          <w:rFonts w:hint="eastAsia" w:ascii="仿宋" w:hAnsi="宋体" w:eastAsia="仿宋" w:cs="宋体"/>
          <w:sz w:val="24"/>
        </w:rPr>
        <w:t>的</w:t>
      </w:r>
      <w:r>
        <w:rPr>
          <w:rFonts w:ascii="仿宋" w:hAnsi="宋体" w:eastAsia="仿宋" w:cs="宋体"/>
          <w:sz w:val="24"/>
        </w:rPr>
        <w:t>面料、辅料、配件</w:t>
      </w:r>
      <w:r>
        <w:rPr>
          <w:rFonts w:hint="eastAsia" w:ascii="仿宋" w:hAnsi="宋体" w:eastAsia="仿宋" w:cs="宋体"/>
          <w:sz w:val="24"/>
        </w:rPr>
        <w:t>（</w:t>
      </w:r>
      <w:r>
        <w:rPr>
          <w:rFonts w:ascii="仿宋" w:hAnsi="宋体" w:eastAsia="仿宋" w:cs="宋体"/>
          <w:sz w:val="24"/>
        </w:rPr>
        <w:t>料</w:t>
      </w:r>
      <w:r>
        <w:rPr>
          <w:rFonts w:hint="eastAsia" w:ascii="仿宋" w:hAnsi="宋体" w:eastAsia="仿宋" w:cs="宋体"/>
          <w:sz w:val="24"/>
        </w:rPr>
        <w:t>）</w:t>
      </w:r>
      <w:r>
        <w:rPr>
          <w:rFonts w:ascii="仿宋" w:hAnsi="宋体" w:eastAsia="仿宋" w:cs="宋体"/>
          <w:sz w:val="24"/>
        </w:rPr>
        <w:t>和制作工艺等</w:t>
      </w:r>
      <w:r>
        <w:rPr>
          <w:rFonts w:hint="eastAsia" w:ascii="仿宋" w:hAnsi="宋体" w:eastAsia="仿宋" w:cs="宋体"/>
          <w:sz w:val="24"/>
        </w:rPr>
        <w:t>校服安全与质量应符合GB18401</w:t>
      </w:r>
      <w:r>
        <w:rPr>
          <w:rFonts w:ascii="仿宋" w:hAnsi="宋体" w:eastAsia="仿宋" w:cs="宋体"/>
          <w:sz w:val="24"/>
        </w:rPr>
        <w:t>-2010</w:t>
      </w:r>
      <w:r>
        <w:rPr>
          <w:rFonts w:hint="eastAsia" w:ascii="仿宋" w:hAnsi="宋体" w:eastAsia="仿宋" w:cs="宋体"/>
          <w:sz w:val="24"/>
        </w:rPr>
        <w:t>《国家纺织产品基本安全技术规范》、GB31701</w:t>
      </w:r>
      <w:r>
        <w:rPr>
          <w:rFonts w:ascii="仿宋" w:hAnsi="宋体" w:eastAsia="仿宋" w:cs="宋体"/>
          <w:sz w:val="24"/>
        </w:rPr>
        <w:t>-2015</w:t>
      </w:r>
      <w:r>
        <w:rPr>
          <w:rFonts w:hint="eastAsia" w:ascii="仿宋" w:hAnsi="宋体" w:eastAsia="仿宋" w:cs="宋体"/>
          <w:sz w:val="24"/>
        </w:rPr>
        <w:t>《婴幼儿及儿童纺织产品安全技术规范》、GB/T31888</w:t>
      </w:r>
      <w:r>
        <w:rPr>
          <w:rFonts w:ascii="仿宋" w:hAnsi="宋体" w:eastAsia="仿宋" w:cs="宋体"/>
          <w:sz w:val="24"/>
        </w:rPr>
        <w:t>-2015</w:t>
      </w:r>
      <w:r>
        <w:rPr>
          <w:rFonts w:hint="eastAsia" w:ascii="仿宋" w:hAnsi="宋体" w:eastAsia="仿宋" w:cs="宋体"/>
          <w:sz w:val="24"/>
        </w:rPr>
        <w:t>《中小学生校服》</w:t>
      </w:r>
      <w:r>
        <w:rPr>
          <w:rFonts w:ascii="仿宋" w:hAnsi="宋体" w:eastAsia="仿宋" w:cs="宋体"/>
          <w:sz w:val="24"/>
        </w:rPr>
        <w:t>等国家标准</w:t>
      </w:r>
      <w:r>
        <w:rPr>
          <w:rFonts w:hint="eastAsia" w:ascii="仿宋" w:hAnsi="宋体" w:eastAsia="仿宋" w:cs="宋体"/>
          <w:sz w:val="24"/>
        </w:rPr>
        <w:t>。</w:t>
      </w:r>
    </w:p>
    <w:p w14:paraId="7B194FFB">
      <w:pPr>
        <w:ind w:firstLine="482"/>
        <w:jc w:val="left"/>
        <w:rPr>
          <w:rFonts w:hint="eastAsia" w:ascii="仿宋" w:hAnsi="宋体" w:eastAsia="仿宋" w:cs="宋体"/>
          <w:sz w:val="24"/>
        </w:rPr>
      </w:pPr>
      <w:r>
        <w:rPr>
          <w:rFonts w:hint="eastAsia" w:ascii="仿宋" w:hAnsi="宋体" w:eastAsia="仿宋" w:cs="宋体"/>
          <w:sz w:val="24"/>
        </w:rPr>
        <w:t>（2）成分要求</w:t>
      </w:r>
    </w:p>
    <w:p w14:paraId="151E45E6">
      <w:pPr>
        <w:ind w:firstLine="482"/>
        <w:jc w:val="left"/>
        <w:rPr>
          <w:rFonts w:hint="eastAsia" w:ascii="仿宋" w:hAnsi="宋体" w:eastAsia="仿宋" w:cs="宋体"/>
          <w:sz w:val="24"/>
        </w:rPr>
      </w:pPr>
      <w:r>
        <w:rPr>
          <w:rFonts w:hint="eastAsia" w:ascii="仿宋" w:hAnsi="宋体" w:eastAsia="仿宋" w:cs="宋体"/>
          <w:sz w:val="24"/>
        </w:rPr>
        <w:t>面料应选择吸湿、透气、柔软、耐磨的环保材料。冬季校服应注重保暖，夏季校服应注重轻薄透气。</w:t>
      </w:r>
    </w:p>
    <w:p w14:paraId="456C49D1">
      <w:pPr>
        <w:ind w:firstLine="482"/>
        <w:jc w:val="left"/>
        <w:rPr>
          <w:rFonts w:hint="eastAsia" w:ascii="仿宋" w:hAnsi="宋体" w:eastAsia="仿宋" w:cs="宋体"/>
          <w:sz w:val="24"/>
        </w:rPr>
      </w:pPr>
      <w:r>
        <w:rPr>
          <w:rFonts w:hint="eastAsia" w:ascii="仿宋" w:hAnsi="宋体" w:eastAsia="仿宋" w:cs="宋体"/>
          <w:sz w:val="24"/>
        </w:rPr>
        <w:t>（3）辅料要求</w:t>
      </w:r>
    </w:p>
    <w:p w14:paraId="6658B8C8">
      <w:pPr>
        <w:ind w:firstLine="482"/>
        <w:jc w:val="left"/>
        <w:rPr>
          <w:rFonts w:hint="eastAsia" w:ascii="仿宋" w:hAnsi="宋体" w:eastAsia="仿宋" w:cs="宋体"/>
          <w:sz w:val="24"/>
        </w:rPr>
      </w:pPr>
      <w:r>
        <w:rPr>
          <w:rFonts w:hint="eastAsia" w:ascii="仿宋" w:hAnsi="宋体" w:eastAsia="仿宋" w:cs="宋体"/>
          <w:sz w:val="24"/>
        </w:rPr>
        <w:t>缝线牢固，扣件、拉链质量可靠，多次洗涤后不易变形、褪色。</w:t>
      </w:r>
    </w:p>
    <w:p w14:paraId="74B5B309">
      <w:pPr>
        <w:ind w:firstLine="482"/>
        <w:jc w:val="left"/>
        <w:rPr>
          <w:rFonts w:hint="eastAsia" w:ascii="仿宋" w:hAnsi="宋体" w:eastAsia="仿宋" w:cs="宋体"/>
          <w:sz w:val="24"/>
        </w:rPr>
      </w:pPr>
      <w:r>
        <w:rPr>
          <w:rFonts w:hint="eastAsia" w:ascii="仿宋" w:hAnsi="宋体" w:eastAsia="仿宋" w:cs="宋体"/>
          <w:sz w:val="24"/>
        </w:rPr>
        <w:t>拉链：无毒，不含镍、不含甲醛、不含偶氮；拉链布带染色均匀，无沾污，手感柔软；拉链链牙排列整齐，不得有缺牙坏牙；用国内知名品牌。</w:t>
      </w:r>
    </w:p>
    <w:p w14:paraId="79A24D10">
      <w:pPr>
        <w:ind w:firstLine="482"/>
        <w:jc w:val="left"/>
        <w:rPr>
          <w:rFonts w:hint="eastAsia" w:ascii="仿宋" w:hAnsi="宋体" w:eastAsia="仿宋" w:cs="宋体"/>
          <w:sz w:val="24"/>
        </w:rPr>
      </w:pPr>
      <w:r>
        <w:rPr>
          <w:rFonts w:hint="eastAsia" w:ascii="仿宋" w:hAnsi="宋体" w:eastAsia="仿宋" w:cs="宋体"/>
          <w:sz w:val="24"/>
        </w:rPr>
        <w:t>橡筋：用国内知名品牌橡筋；无毒，不含甲醛，不含偶氮。</w:t>
      </w:r>
    </w:p>
    <w:p w14:paraId="6273551F">
      <w:pPr>
        <w:ind w:firstLine="482"/>
        <w:jc w:val="left"/>
        <w:rPr>
          <w:rFonts w:hint="eastAsia" w:ascii="仿宋" w:hAnsi="宋体" w:eastAsia="仿宋" w:cs="宋体"/>
          <w:sz w:val="24"/>
        </w:rPr>
      </w:pPr>
      <w:r>
        <w:rPr>
          <w:rFonts w:hint="eastAsia" w:ascii="仿宋" w:hAnsi="宋体" w:eastAsia="仿宋" w:cs="宋体"/>
          <w:sz w:val="24"/>
        </w:rPr>
        <w:t>（4）工艺要求</w:t>
      </w:r>
    </w:p>
    <w:p w14:paraId="7D957F44">
      <w:pPr>
        <w:ind w:firstLine="482"/>
        <w:jc w:val="left"/>
        <w:rPr>
          <w:rFonts w:hint="eastAsia" w:ascii="仿宋" w:hAnsi="宋体" w:eastAsia="仿宋" w:cs="宋体"/>
          <w:sz w:val="24"/>
        </w:rPr>
      </w:pPr>
      <w:r>
        <w:rPr>
          <w:rFonts w:hint="eastAsia" w:ascii="仿宋" w:hAnsi="宋体" w:eastAsia="仿宋" w:cs="宋体"/>
          <w:sz w:val="24"/>
        </w:rPr>
        <w:t>整套衣服缝制顺直，无线头、污渍，尺寸准确，整烫平整。</w:t>
      </w:r>
    </w:p>
    <w:p w14:paraId="6B406151">
      <w:pPr>
        <w:ind w:firstLine="482"/>
        <w:jc w:val="left"/>
        <w:rPr>
          <w:rFonts w:hint="eastAsia" w:ascii="仿宋" w:hAnsi="宋体" w:eastAsia="仿宋" w:cs="宋体"/>
          <w:sz w:val="24"/>
        </w:rPr>
      </w:pPr>
      <w:r>
        <w:rPr>
          <w:rFonts w:hint="eastAsia" w:ascii="仿宋" w:hAnsi="宋体" w:eastAsia="仿宋" w:cs="宋体"/>
          <w:sz w:val="24"/>
        </w:rPr>
        <w:t>上衣门襟拉链平直，位置对齐，无高低差异，左右均匀；上衣、裤子插袋点位置准确，袋唇长短宽窄一致，上衣罗纹与大身缝合均匀。</w:t>
      </w:r>
    </w:p>
    <w:p w14:paraId="1FE245F5">
      <w:pPr>
        <w:ind w:firstLine="482"/>
        <w:jc w:val="left"/>
        <w:rPr>
          <w:rFonts w:hint="eastAsia" w:ascii="仿宋" w:hAnsi="宋体" w:eastAsia="仿宋" w:cs="宋体"/>
          <w:sz w:val="24"/>
        </w:rPr>
      </w:pPr>
      <w:r>
        <w:rPr>
          <w:rFonts w:hint="eastAsia" w:ascii="仿宋" w:hAnsi="宋体" w:eastAsia="仿宋" w:cs="宋体"/>
          <w:sz w:val="24"/>
        </w:rPr>
        <w:t>校徽：印制(或绣制)，校徽的图形、颜色、大小需按照学校要求为准。</w:t>
      </w:r>
    </w:p>
    <w:p w14:paraId="46A28046">
      <w:pPr>
        <w:ind w:firstLine="482"/>
        <w:jc w:val="left"/>
        <w:rPr>
          <w:rFonts w:hint="eastAsia" w:ascii="仿宋" w:hAnsi="宋体" w:eastAsia="仿宋" w:cs="宋体"/>
          <w:sz w:val="24"/>
        </w:rPr>
      </w:pPr>
      <w:r>
        <w:rPr>
          <w:rFonts w:hint="eastAsia" w:ascii="仿宋" w:hAnsi="宋体" w:eastAsia="仿宋" w:cs="宋体"/>
          <w:sz w:val="24"/>
        </w:rPr>
        <w:t>（5）款式要求</w:t>
      </w:r>
    </w:p>
    <w:p w14:paraId="631FE714">
      <w:pPr>
        <w:ind w:firstLine="482"/>
        <w:jc w:val="left"/>
        <w:rPr>
          <w:rFonts w:hint="eastAsia" w:ascii="仿宋" w:hAnsi="宋体" w:eastAsia="仿宋" w:cs="宋体"/>
          <w:sz w:val="24"/>
        </w:rPr>
      </w:pPr>
      <w:r>
        <w:rPr>
          <w:rFonts w:hint="eastAsia" w:ascii="仿宋" w:hAnsi="宋体" w:eastAsia="仿宋" w:cs="宋体"/>
          <w:sz w:val="24"/>
        </w:rPr>
        <w:t>校服具有传承性等特点，中标供应商应与学校对接，根据学校提供具体款式或者在学校要求二次设计、经学校确认后进行生产。款式简洁大方，体现学校文化元素；设计符合学生身体发育特点，便于运动；考虑反光条等安全设计。</w:t>
      </w:r>
    </w:p>
    <w:p w14:paraId="59F0C873">
      <w:pPr>
        <w:spacing w:before="200" w:after="100"/>
        <w:jc w:val="left"/>
        <w:outlineLvl w:val="1"/>
        <w:rPr>
          <w:rFonts w:hint="eastAsia" w:ascii="楷体" w:hAnsi="宋体" w:eastAsia="楷体" w:cs="宋体"/>
          <w:sz w:val="32"/>
        </w:rPr>
      </w:pPr>
      <w:r>
        <w:rPr>
          <w:rFonts w:hint="eastAsia" w:ascii="楷体" w:hAnsi="宋体" w:eastAsia="楷体" w:cs="宋体"/>
          <w:sz w:val="32"/>
        </w:rPr>
        <w:t>（五）尺码与适配性</w:t>
      </w:r>
    </w:p>
    <w:p w14:paraId="0546C9FC">
      <w:pPr>
        <w:ind w:firstLine="482"/>
        <w:jc w:val="left"/>
        <w:rPr>
          <w:rFonts w:hint="eastAsia" w:ascii="仿宋" w:hAnsi="宋体" w:eastAsia="仿宋" w:cs="宋体"/>
          <w:sz w:val="24"/>
        </w:rPr>
      </w:pPr>
      <w:r>
        <w:rPr>
          <w:rFonts w:hint="eastAsia" w:ascii="仿宋" w:hAnsi="宋体" w:eastAsia="仿宋" w:cs="宋体"/>
          <w:sz w:val="24"/>
        </w:rPr>
        <w:t>1.尺码范围：覆盖高一年级学生各类体型，提供B140-B190六个标准尺码，同时可根据学生身高、体重细分尺码区间（如140cm、15</w:t>
      </w:r>
      <w:r>
        <w:rPr>
          <w:rFonts w:ascii="仿宋" w:hAnsi="宋体" w:eastAsia="仿宋" w:cs="宋体"/>
          <w:sz w:val="24"/>
        </w:rPr>
        <w:t>0</w:t>
      </w:r>
      <w:r>
        <w:rPr>
          <w:rFonts w:hint="eastAsia" w:ascii="仿宋" w:hAnsi="宋体" w:eastAsia="仿宋" w:cs="宋体"/>
          <w:sz w:val="24"/>
        </w:rPr>
        <w:t>cm、160cm、170cm、180cm、190cm对应尺码），或按通用码（XS、S、M、L、XL、XXL）细分，并提供详细的尺码对照表（身高、胸围、腰围、裤长等），确保每位学生都能买到合身的校服。</w:t>
      </w:r>
    </w:p>
    <w:p w14:paraId="07BF72BC">
      <w:pPr>
        <w:ind w:firstLine="482"/>
        <w:jc w:val="left"/>
        <w:rPr>
          <w:rFonts w:hint="eastAsia" w:ascii="仿宋" w:hAnsi="宋体" w:eastAsia="仿宋" w:cs="宋体"/>
          <w:sz w:val="24"/>
        </w:rPr>
      </w:pPr>
      <w:r>
        <w:rPr>
          <w:rFonts w:hint="eastAsia" w:ascii="仿宋" w:hAnsi="宋体" w:eastAsia="仿宋" w:cs="宋体"/>
          <w:sz w:val="24"/>
        </w:rPr>
        <w:t>2.定制服务：针对肥胖、过瘦等特殊体型学生，提供专属定制选项，由家长提交学生详细身高、体重、三围等数据，供应商按需定制，保障特殊体型学生的穿着舒适度。</w:t>
      </w:r>
    </w:p>
    <w:p w14:paraId="56A153E3">
      <w:pPr>
        <w:spacing w:before="200" w:after="100"/>
        <w:jc w:val="left"/>
        <w:outlineLvl w:val="1"/>
        <w:rPr>
          <w:rFonts w:hint="eastAsia" w:ascii="楷体" w:hAnsi="宋体" w:eastAsia="楷体" w:cs="宋体"/>
          <w:sz w:val="32"/>
        </w:rPr>
      </w:pPr>
      <w:r>
        <w:rPr>
          <w:rFonts w:hint="eastAsia" w:ascii="楷体" w:hAnsi="宋体" w:eastAsia="楷体" w:cs="宋体"/>
          <w:sz w:val="32"/>
        </w:rPr>
        <w:t>（六）包装及标识</w:t>
      </w:r>
    </w:p>
    <w:p w14:paraId="061C1125">
      <w:pPr>
        <w:ind w:firstLine="482"/>
        <w:jc w:val="left"/>
        <w:rPr>
          <w:rFonts w:hint="eastAsia" w:ascii="仿宋" w:hAnsi="宋体" w:eastAsia="仿宋" w:cs="宋体"/>
          <w:b/>
          <w:bCs/>
          <w:sz w:val="24"/>
        </w:rPr>
      </w:pPr>
      <w:r>
        <w:rPr>
          <w:rFonts w:hint="eastAsia" w:ascii="仿宋" w:hAnsi="宋体" w:eastAsia="仿宋" w:cs="宋体"/>
          <w:sz w:val="24"/>
        </w:rPr>
        <w:t>1.包装要求：每件校服采用独立包装，夏季校服使用透明袋包装，春秋季、冬季校服使用透明袋包装，包装需牢固、防尘、防潮，避免运输过程中受损。包装标签需清晰注明校服尺码、种类（如“冬裤165/74B”）</w:t>
      </w:r>
      <w:r>
        <w:rPr>
          <w:rFonts w:hint="eastAsia" w:ascii="仿宋" w:hAnsi="宋体" w:eastAsia="仿宋" w:cs="宋体"/>
          <w:b/>
          <w:bCs/>
          <w:sz w:val="24"/>
        </w:rPr>
        <w:t>。</w:t>
      </w:r>
    </w:p>
    <w:p w14:paraId="7DCA7E92">
      <w:pPr>
        <w:ind w:firstLine="482"/>
        <w:jc w:val="left"/>
        <w:rPr>
          <w:rFonts w:hint="eastAsia" w:ascii="仿宋" w:hAnsi="宋体" w:eastAsia="仿宋" w:cs="宋体"/>
          <w:sz w:val="24"/>
        </w:rPr>
      </w:pPr>
      <w:r>
        <w:rPr>
          <w:rFonts w:hint="eastAsia" w:ascii="仿宋" w:hAnsi="宋体" w:eastAsia="仿宋" w:cs="宋体"/>
          <w:sz w:val="24"/>
        </w:rPr>
        <w:t>2.</w:t>
      </w:r>
      <w:r>
        <w:rPr>
          <w:rFonts w:hint="eastAsia" w:ascii="仿宋" w:hAnsi="宋体" w:eastAsia="仿宋" w:cs="宋体"/>
          <w:sz w:val="24"/>
          <w:lang w:eastAsia="ja-JP"/>
        </w:rPr>
        <w:t>标识</w:t>
      </w:r>
      <w:r>
        <w:rPr>
          <w:rFonts w:hint="eastAsia" w:ascii="仿宋" w:hAnsi="宋体" w:eastAsia="仿宋" w:cs="宋体"/>
          <w:sz w:val="24"/>
        </w:rPr>
        <w:t>要求：</w:t>
      </w:r>
      <w:r>
        <w:rPr>
          <w:rFonts w:hint="eastAsia" w:ascii="仿宋" w:hAnsi="宋体" w:eastAsia="仿宋" w:cs="宋体"/>
          <w:spacing w:val="-6"/>
          <w:sz w:val="24"/>
        </w:rPr>
        <w:t>校服</w:t>
      </w:r>
      <w:r>
        <w:rPr>
          <w:rFonts w:ascii="仿宋" w:hAnsi="宋体" w:eastAsia="仿宋" w:cs="宋体"/>
          <w:spacing w:val="-6"/>
          <w:sz w:val="24"/>
        </w:rPr>
        <w:t>实行“明标识”制度</w:t>
      </w:r>
      <w:r>
        <w:rPr>
          <w:rFonts w:hint="eastAsia" w:ascii="仿宋" w:hAnsi="宋体" w:eastAsia="仿宋" w:cs="宋体"/>
          <w:spacing w:val="-6"/>
          <w:sz w:val="24"/>
        </w:rPr>
        <w:t>，</w:t>
      </w:r>
      <w:r>
        <w:rPr>
          <w:rFonts w:ascii="仿宋" w:hAnsi="宋体" w:eastAsia="仿宋" w:cs="宋体"/>
          <w:spacing w:val="-6"/>
          <w:sz w:val="24"/>
        </w:rPr>
        <w:t>具备</w:t>
      </w:r>
      <w:r>
        <w:rPr>
          <w:rFonts w:hint="eastAsia" w:ascii="仿宋" w:hAnsi="宋体" w:eastAsia="仿宋" w:cs="宋体"/>
          <w:spacing w:val="-6"/>
          <w:sz w:val="24"/>
        </w:rPr>
        <w:t>成衣合格标识，符合国家质量标准，确保无毒、无害、舒适、耐用。</w:t>
      </w:r>
      <w:r>
        <w:rPr>
          <w:rFonts w:hint="eastAsia" w:ascii="仿宋" w:hAnsi="宋体" w:eastAsia="仿宋" w:cs="宋体"/>
          <w:sz w:val="24"/>
          <w:lang w:eastAsia="ja-JP"/>
        </w:rPr>
        <w:t>吊牌、耐久性标签等使用说明标识须符合</w:t>
      </w:r>
      <w:r>
        <w:rPr>
          <w:rFonts w:hint="eastAsia" w:ascii="仿宋" w:hAnsi="宋体" w:eastAsia="仿宋" w:cs="宋体"/>
          <w:sz w:val="24"/>
        </w:rPr>
        <w:t>‌GB/T 5296.4-2012《消费品使用说明 第4部分：纺织品和服装》要求，校服的标签（吊牌和水洗标）上必须包含以下信息：</w:t>
      </w:r>
    </w:p>
    <w:p w14:paraId="5C66A7D7">
      <w:pPr>
        <w:ind w:firstLine="482"/>
        <w:jc w:val="left"/>
        <w:rPr>
          <w:rFonts w:hint="eastAsia" w:ascii="仿宋" w:hAnsi="宋体" w:eastAsia="仿宋" w:cs="宋体"/>
          <w:sz w:val="24"/>
        </w:rPr>
      </w:pPr>
      <w:r>
        <w:rPr>
          <w:rFonts w:hint="eastAsia" w:ascii="仿宋" w:hAnsi="宋体" w:eastAsia="仿宋" w:cs="宋体"/>
          <w:sz w:val="24"/>
        </w:rPr>
        <w:t>a.制造商名称和地址；</w:t>
      </w:r>
    </w:p>
    <w:p w14:paraId="6941C63C">
      <w:pPr>
        <w:ind w:firstLine="482"/>
        <w:jc w:val="left"/>
        <w:rPr>
          <w:rFonts w:hint="eastAsia" w:ascii="仿宋" w:hAnsi="宋体" w:eastAsia="仿宋" w:cs="宋体"/>
          <w:sz w:val="24"/>
        </w:rPr>
      </w:pPr>
      <w:r>
        <w:rPr>
          <w:rFonts w:hint="eastAsia" w:ascii="仿宋" w:hAnsi="宋体" w:eastAsia="仿宋" w:cs="宋体"/>
          <w:sz w:val="24"/>
        </w:rPr>
        <w:t>b.产品名称；</w:t>
      </w:r>
    </w:p>
    <w:p w14:paraId="1B5ED18D">
      <w:pPr>
        <w:ind w:firstLine="482"/>
        <w:jc w:val="left"/>
        <w:rPr>
          <w:rFonts w:hint="eastAsia" w:ascii="仿宋" w:hAnsi="宋体" w:eastAsia="仿宋" w:cs="宋体"/>
          <w:sz w:val="24"/>
        </w:rPr>
      </w:pPr>
      <w:r>
        <w:rPr>
          <w:rFonts w:hint="eastAsia" w:ascii="仿宋" w:hAnsi="宋体" w:eastAsia="仿宋" w:cs="宋体"/>
          <w:sz w:val="24"/>
        </w:rPr>
        <w:t>c.产品规格型号（耐久性）；</w:t>
      </w:r>
    </w:p>
    <w:p w14:paraId="1F99DB54">
      <w:pPr>
        <w:ind w:firstLine="482"/>
        <w:jc w:val="left"/>
        <w:rPr>
          <w:rFonts w:hint="eastAsia" w:ascii="仿宋" w:hAnsi="宋体" w:eastAsia="仿宋" w:cs="宋体"/>
          <w:sz w:val="24"/>
        </w:rPr>
      </w:pPr>
      <w:r>
        <w:rPr>
          <w:rFonts w:hint="eastAsia" w:ascii="仿宋" w:hAnsi="宋体" w:eastAsia="仿宋" w:cs="宋体"/>
          <w:sz w:val="24"/>
        </w:rPr>
        <w:t>d.纤维成分及含量（耐久性）；</w:t>
      </w:r>
    </w:p>
    <w:p w14:paraId="6C7FD578">
      <w:pPr>
        <w:ind w:firstLine="482"/>
        <w:jc w:val="left"/>
        <w:rPr>
          <w:rFonts w:hint="eastAsia" w:ascii="仿宋" w:hAnsi="宋体" w:eastAsia="仿宋" w:cs="宋体"/>
          <w:sz w:val="24"/>
        </w:rPr>
      </w:pPr>
      <w:r>
        <w:rPr>
          <w:rFonts w:hint="eastAsia" w:ascii="仿宋" w:hAnsi="宋体" w:eastAsia="仿宋" w:cs="宋体"/>
          <w:sz w:val="24"/>
        </w:rPr>
        <w:t>e.洗涤维护方法（耐久性）；</w:t>
      </w:r>
    </w:p>
    <w:p w14:paraId="7F2D4005">
      <w:pPr>
        <w:ind w:firstLine="482"/>
        <w:jc w:val="left"/>
        <w:rPr>
          <w:rFonts w:hint="eastAsia" w:ascii="仿宋" w:hAnsi="宋体" w:eastAsia="仿宋" w:cs="宋体"/>
          <w:sz w:val="24"/>
        </w:rPr>
      </w:pPr>
      <w:r>
        <w:rPr>
          <w:rFonts w:hint="eastAsia" w:ascii="仿宋" w:hAnsi="宋体" w:eastAsia="仿宋" w:cs="宋体"/>
          <w:sz w:val="24"/>
        </w:rPr>
        <w:t>f.产品标准编号；</w:t>
      </w:r>
    </w:p>
    <w:p w14:paraId="05FE0185">
      <w:pPr>
        <w:ind w:firstLine="482"/>
        <w:jc w:val="left"/>
        <w:rPr>
          <w:rFonts w:hint="eastAsia" w:ascii="仿宋" w:hAnsi="宋体" w:eastAsia="仿宋" w:cs="宋体"/>
          <w:sz w:val="24"/>
        </w:rPr>
      </w:pPr>
      <w:r>
        <w:rPr>
          <w:rFonts w:hint="eastAsia" w:ascii="仿宋" w:hAnsi="宋体" w:eastAsia="仿宋" w:cs="宋体"/>
          <w:sz w:val="24"/>
        </w:rPr>
        <w:t>g.基本安全技术要求类别。</w:t>
      </w:r>
    </w:p>
    <w:p w14:paraId="7C8D0EF9">
      <w:pPr>
        <w:ind w:firstLine="482"/>
        <w:jc w:val="left"/>
        <w:rPr>
          <w:rFonts w:hint="eastAsia" w:ascii="仿宋" w:hAnsi="宋体" w:eastAsia="仿宋" w:cs="宋体"/>
          <w:b/>
          <w:bCs/>
          <w:sz w:val="24"/>
        </w:rPr>
      </w:pPr>
      <w:r>
        <w:rPr>
          <w:rFonts w:hint="eastAsia" w:ascii="仿宋" w:hAnsi="宋体" w:eastAsia="仿宋" w:cs="宋体"/>
          <w:sz w:val="24"/>
        </w:rPr>
        <w:t>校服产品耐久性标签放于侧缝处，不允许在衣领处缝制任何标签。</w:t>
      </w:r>
    </w:p>
    <w:p w14:paraId="4A84677C">
      <w:pPr>
        <w:spacing w:before="200" w:after="100"/>
        <w:jc w:val="left"/>
        <w:outlineLvl w:val="1"/>
        <w:rPr>
          <w:rFonts w:hint="eastAsia" w:ascii="楷体" w:hAnsi="宋体" w:eastAsia="楷体" w:cs="宋体"/>
          <w:sz w:val="32"/>
        </w:rPr>
      </w:pPr>
      <w:r>
        <w:rPr>
          <w:rFonts w:hint="eastAsia" w:ascii="楷体" w:hAnsi="宋体" w:eastAsia="楷体" w:cs="宋体"/>
          <w:sz w:val="32"/>
        </w:rPr>
        <w:t>（七）预算与报价</w:t>
      </w:r>
    </w:p>
    <w:p w14:paraId="5482D1CB">
      <w:pPr>
        <w:ind w:firstLine="482"/>
        <w:jc w:val="left"/>
        <w:rPr>
          <w:rFonts w:hint="eastAsia" w:ascii="仿宋" w:hAnsi="宋体" w:eastAsia="仿宋" w:cs="宋体"/>
          <w:sz w:val="24"/>
        </w:rPr>
      </w:pPr>
      <w:r>
        <w:rPr>
          <w:rFonts w:hint="eastAsia" w:ascii="仿宋" w:hAnsi="宋体" w:eastAsia="仿宋" w:cs="宋体"/>
          <w:sz w:val="24"/>
        </w:rPr>
        <w:t>1.预算范围：本次校服采购总价</w:t>
      </w:r>
      <w:r>
        <w:rPr>
          <w:rFonts w:hint="eastAsia" w:ascii="仿宋" w:hAnsi="宋体" w:eastAsia="仿宋" w:cs="宋体"/>
          <w:sz w:val="24"/>
          <w:lang w:val="en-US" w:eastAsia="zh-CN"/>
        </w:rPr>
        <w:t>132990</w:t>
      </w:r>
      <w:r>
        <w:rPr>
          <w:rFonts w:hint="eastAsia" w:ascii="仿宋" w:hAnsi="宋体" w:eastAsia="仿宋" w:cs="宋体"/>
          <w:sz w:val="24"/>
        </w:rPr>
        <w:t>元（</w:t>
      </w:r>
      <w:r>
        <w:rPr>
          <w:rFonts w:hint="eastAsia" w:ascii="仿宋" w:hAnsi="宋体" w:eastAsia="仿宋" w:cs="宋体"/>
          <w:sz w:val="24"/>
          <w:lang w:eastAsia="zh-CN"/>
        </w:rPr>
        <w:t>330</w:t>
      </w:r>
      <w:r>
        <w:rPr>
          <w:rFonts w:hint="eastAsia" w:ascii="仿宋" w:hAnsi="宋体" w:eastAsia="仿宋" w:cs="宋体"/>
          <w:sz w:val="24"/>
        </w:rPr>
        <w:t>元/人×403人），最终按实结算。</w:t>
      </w:r>
    </w:p>
    <w:p w14:paraId="39B7391B">
      <w:pPr>
        <w:ind w:firstLine="482"/>
        <w:jc w:val="left"/>
        <w:rPr>
          <w:rFonts w:hint="eastAsia" w:ascii="仿宋" w:hAnsi="宋体" w:eastAsia="仿宋" w:cs="宋体"/>
          <w:sz w:val="24"/>
        </w:rPr>
      </w:pPr>
      <w:r>
        <w:rPr>
          <w:rFonts w:hint="eastAsia" w:ascii="仿宋" w:hAnsi="宋体" w:eastAsia="仿宋" w:cs="宋体"/>
          <w:sz w:val="24"/>
        </w:rPr>
        <w:t>2.报价明细</w:t>
      </w:r>
      <w:r>
        <w:rPr>
          <w:rFonts w:hint="eastAsia" w:ascii="仿宋" w:hAnsi="宋体" w:eastAsia="仿宋" w:cs="宋体"/>
          <w:b/>
          <w:bCs/>
          <w:sz w:val="24"/>
        </w:rPr>
        <w:t>（预估）</w:t>
      </w:r>
      <w:r>
        <w:rPr>
          <w:rFonts w:hint="eastAsia" w:ascii="仿宋" w:hAnsi="宋体" w:eastAsia="仿宋" w:cs="宋体"/>
          <w:sz w:val="24"/>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
        <w:gridCol w:w="1425"/>
        <w:gridCol w:w="1378"/>
        <w:gridCol w:w="938"/>
        <w:gridCol w:w="1203"/>
        <w:gridCol w:w="1213"/>
        <w:gridCol w:w="1560"/>
      </w:tblGrid>
      <w:tr w14:paraId="62814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594" w:type="dxa"/>
            <w:vAlign w:val="center"/>
          </w:tcPr>
          <w:p w14:paraId="45168AEA">
            <w:pPr>
              <w:jc w:val="center"/>
              <w:rPr>
                <w:rFonts w:hint="eastAsia" w:asciiTheme="minorEastAsia" w:hAnsiTheme="minorEastAsia" w:cstheme="minorEastAsia"/>
                <w:bCs/>
                <w:sz w:val="24"/>
              </w:rPr>
            </w:pPr>
            <w:r>
              <w:rPr>
                <w:rFonts w:hint="eastAsia" w:asciiTheme="minorEastAsia" w:hAnsiTheme="minorEastAsia" w:cstheme="minorEastAsia"/>
                <w:bCs/>
                <w:sz w:val="24"/>
              </w:rPr>
              <w:t>序号</w:t>
            </w:r>
          </w:p>
        </w:tc>
        <w:tc>
          <w:tcPr>
            <w:tcW w:w="1425" w:type="dxa"/>
            <w:vAlign w:val="center"/>
          </w:tcPr>
          <w:p w14:paraId="0CDBFF23">
            <w:pPr>
              <w:jc w:val="center"/>
              <w:rPr>
                <w:rFonts w:hint="eastAsia" w:asciiTheme="minorEastAsia" w:hAnsiTheme="minorEastAsia" w:cstheme="minorEastAsia"/>
                <w:bCs/>
                <w:sz w:val="24"/>
              </w:rPr>
            </w:pPr>
            <w:r>
              <w:rPr>
                <w:rFonts w:hint="eastAsia" w:asciiTheme="minorEastAsia" w:hAnsiTheme="minorEastAsia" w:cstheme="minorEastAsia"/>
                <w:bCs/>
                <w:sz w:val="24"/>
              </w:rPr>
              <w:t>名称</w:t>
            </w:r>
          </w:p>
        </w:tc>
        <w:tc>
          <w:tcPr>
            <w:tcW w:w="1378" w:type="dxa"/>
            <w:vAlign w:val="center"/>
          </w:tcPr>
          <w:p w14:paraId="6ED7AA2B">
            <w:pPr>
              <w:jc w:val="center"/>
              <w:rPr>
                <w:rFonts w:hint="eastAsia" w:asciiTheme="minorEastAsia" w:hAnsiTheme="minorEastAsia" w:cstheme="minorEastAsia"/>
                <w:bCs/>
                <w:sz w:val="24"/>
              </w:rPr>
            </w:pPr>
            <w:r>
              <w:rPr>
                <w:rFonts w:hint="eastAsia" w:asciiTheme="minorEastAsia" w:hAnsiTheme="minorEastAsia" w:cstheme="minorEastAsia"/>
                <w:bCs/>
                <w:sz w:val="24"/>
              </w:rPr>
              <w:t>产品名称</w:t>
            </w:r>
          </w:p>
        </w:tc>
        <w:tc>
          <w:tcPr>
            <w:tcW w:w="938" w:type="dxa"/>
            <w:vAlign w:val="center"/>
          </w:tcPr>
          <w:p w14:paraId="62A82642">
            <w:pPr>
              <w:jc w:val="center"/>
              <w:rPr>
                <w:rFonts w:hint="eastAsia" w:asciiTheme="minorEastAsia" w:hAnsiTheme="minorEastAsia" w:cstheme="minorEastAsia"/>
                <w:bCs/>
                <w:sz w:val="24"/>
              </w:rPr>
            </w:pPr>
            <w:r>
              <w:rPr>
                <w:rFonts w:hint="eastAsia" w:asciiTheme="minorEastAsia" w:hAnsiTheme="minorEastAsia" w:cstheme="minorEastAsia"/>
                <w:bCs/>
                <w:sz w:val="24"/>
              </w:rPr>
              <w:t>数量</w:t>
            </w:r>
          </w:p>
          <w:p w14:paraId="67D0AEE1">
            <w:pPr>
              <w:jc w:val="center"/>
              <w:rPr>
                <w:rFonts w:hint="eastAsia" w:asciiTheme="minorEastAsia" w:hAnsiTheme="minorEastAsia" w:cstheme="minorEastAsia"/>
                <w:bCs/>
                <w:sz w:val="24"/>
              </w:rPr>
            </w:pPr>
            <w:r>
              <w:rPr>
                <w:rFonts w:hint="eastAsia" w:asciiTheme="minorEastAsia" w:hAnsiTheme="minorEastAsia" w:cstheme="minorEastAsia"/>
                <w:bCs/>
                <w:sz w:val="24"/>
              </w:rPr>
              <w:t>（人）</w:t>
            </w:r>
          </w:p>
        </w:tc>
        <w:tc>
          <w:tcPr>
            <w:tcW w:w="1203" w:type="dxa"/>
            <w:vAlign w:val="center"/>
          </w:tcPr>
          <w:p w14:paraId="4BD1E613">
            <w:pPr>
              <w:jc w:val="center"/>
              <w:rPr>
                <w:rFonts w:hint="eastAsia" w:asciiTheme="minorEastAsia" w:hAnsiTheme="minorEastAsia" w:cstheme="minorEastAsia"/>
                <w:bCs/>
                <w:sz w:val="24"/>
              </w:rPr>
            </w:pPr>
            <w:r>
              <w:rPr>
                <w:rFonts w:hint="eastAsia" w:asciiTheme="minorEastAsia" w:hAnsiTheme="minorEastAsia" w:cstheme="minorEastAsia"/>
                <w:b/>
                <w:sz w:val="24"/>
              </w:rPr>
              <w:t>单价限价（元）</w:t>
            </w:r>
          </w:p>
        </w:tc>
        <w:tc>
          <w:tcPr>
            <w:tcW w:w="1213" w:type="dxa"/>
            <w:vAlign w:val="center"/>
          </w:tcPr>
          <w:p w14:paraId="4E7435CD">
            <w:pPr>
              <w:jc w:val="center"/>
              <w:rPr>
                <w:rFonts w:hint="eastAsia" w:asciiTheme="minorEastAsia" w:hAnsiTheme="minorEastAsia" w:cstheme="minorEastAsia"/>
                <w:bCs/>
                <w:sz w:val="24"/>
              </w:rPr>
            </w:pPr>
            <w:r>
              <w:rPr>
                <w:rFonts w:hint="eastAsia" w:asciiTheme="minorEastAsia" w:hAnsiTheme="minorEastAsia" w:cstheme="minorEastAsia"/>
                <w:bCs/>
                <w:sz w:val="24"/>
              </w:rPr>
              <w:t>合计金额（元）</w:t>
            </w:r>
          </w:p>
        </w:tc>
        <w:tc>
          <w:tcPr>
            <w:tcW w:w="1560" w:type="dxa"/>
            <w:vAlign w:val="center"/>
          </w:tcPr>
          <w:p w14:paraId="5B40DD93">
            <w:pPr>
              <w:jc w:val="center"/>
              <w:rPr>
                <w:rFonts w:hint="eastAsia" w:asciiTheme="minorEastAsia" w:hAnsiTheme="minorEastAsia" w:cstheme="minorEastAsia"/>
                <w:bCs/>
                <w:sz w:val="24"/>
              </w:rPr>
            </w:pPr>
            <w:r>
              <w:rPr>
                <w:rFonts w:hint="eastAsia" w:asciiTheme="minorEastAsia" w:hAnsiTheme="minorEastAsia" w:cstheme="minorEastAsia"/>
                <w:bCs/>
                <w:sz w:val="24"/>
              </w:rPr>
              <w:t>采购年级及学生数</w:t>
            </w:r>
          </w:p>
        </w:tc>
      </w:tr>
      <w:tr w14:paraId="74C9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594" w:type="dxa"/>
            <w:vMerge w:val="restart"/>
            <w:vAlign w:val="center"/>
          </w:tcPr>
          <w:p w14:paraId="141B31B6">
            <w:pPr>
              <w:widowControl/>
              <w:jc w:val="center"/>
              <w:rPr>
                <w:rFonts w:hint="eastAsia" w:ascii="仿宋" w:hAnsi="宋体" w:eastAsia="仿宋" w:cs="宋体"/>
                <w:sz w:val="24"/>
              </w:rPr>
            </w:pPr>
            <w:r>
              <w:rPr>
                <w:rFonts w:hint="eastAsia" w:ascii="仿宋" w:hAnsi="宋体" w:eastAsia="仿宋" w:cs="宋体"/>
                <w:sz w:val="24"/>
              </w:rPr>
              <w:t>1</w:t>
            </w:r>
          </w:p>
        </w:tc>
        <w:tc>
          <w:tcPr>
            <w:tcW w:w="1425" w:type="dxa"/>
            <w:vMerge w:val="restart"/>
            <w:vAlign w:val="center"/>
          </w:tcPr>
          <w:p w14:paraId="724EC7F0">
            <w:pPr>
              <w:widowControl/>
              <w:jc w:val="center"/>
              <w:rPr>
                <w:rFonts w:hint="eastAsia" w:ascii="仿宋" w:hAnsi="宋体" w:eastAsia="仿宋" w:cs="宋体"/>
                <w:sz w:val="24"/>
              </w:rPr>
            </w:pPr>
            <w:r>
              <w:rPr>
                <w:rFonts w:hint="eastAsia" w:ascii="仿宋" w:hAnsi="宋体" w:eastAsia="仿宋" w:cs="宋体"/>
                <w:sz w:val="24"/>
              </w:rPr>
              <w:t>夏季套装</w:t>
            </w:r>
          </w:p>
          <w:p w14:paraId="53594490">
            <w:pPr>
              <w:widowControl/>
              <w:jc w:val="center"/>
              <w:rPr>
                <w:rFonts w:hint="eastAsia" w:ascii="仿宋" w:hAnsi="宋体" w:eastAsia="仿宋" w:cs="宋体"/>
                <w:sz w:val="24"/>
              </w:rPr>
            </w:pPr>
            <w:r>
              <w:rPr>
                <w:rFonts w:hint="eastAsia" w:ascii="仿宋" w:hAnsi="宋体" w:eastAsia="仿宋" w:cs="宋体"/>
                <w:sz w:val="24"/>
              </w:rPr>
              <w:t>（含校徽）</w:t>
            </w:r>
          </w:p>
        </w:tc>
        <w:tc>
          <w:tcPr>
            <w:tcW w:w="1378" w:type="dxa"/>
            <w:vAlign w:val="center"/>
          </w:tcPr>
          <w:p w14:paraId="22A82440">
            <w:pPr>
              <w:widowControl/>
              <w:jc w:val="center"/>
              <w:rPr>
                <w:rFonts w:hint="eastAsia" w:ascii="仿宋" w:hAnsi="宋体" w:eastAsia="仿宋" w:cs="宋体"/>
                <w:sz w:val="24"/>
              </w:rPr>
            </w:pPr>
            <w:r>
              <w:rPr>
                <w:rFonts w:hint="eastAsia" w:ascii="仿宋" w:hAnsi="宋体" w:eastAsia="仿宋" w:cs="宋体"/>
                <w:sz w:val="24"/>
              </w:rPr>
              <w:t>短袖T恤</w:t>
            </w:r>
          </w:p>
        </w:tc>
        <w:tc>
          <w:tcPr>
            <w:tcW w:w="938" w:type="dxa"/>
            <w:shd w:val="clear" w:color="auto" w:fill="auto"/>
            <w:vAlign w:val="center"/>
          </w:tcPr>
          <w:p w14:paraId="27838038">
            <w:pPr>
              <w:widowControl/>
              <w:jc w:val="center"/>
              <w:rPr>
                <w:rFonts w:hint="eastAsia" w:ascii="仿宋" w:hAnsi="宋体" w:eastAsia="仿宋" w:cs="宋体"/>
                <w:sz w:val="24"/>
              </w:rPr>
            </w:pPr>
            <w:r>
              <w:rPr>
                <w:rFonts w:hint="eastAsia" w:ascii="仿宋" w:hAnsi="宋体" w:eastAsia="仿宋" w:cs="宋体"/>
                <w:sz w:val="24"/>
              </w:rPr>
              <w:t>403</w:t>
            </w:r>
          </w:p>
        </w:tc>
        <w:tc>
          <w:tcPr>
            <w:tcW w:w="1203" w:type="dxa"/>
            <w:vAlign w:val="center"/>
          </w:tcPr>
          <w:p w14:paraId="7ADABD6E">
            <w:pPr>
              <w:widowControl/>
              <w:jc w:val="center"/>
              <w:rPr>
                <w:rFonts w:hint="eastAsia" w:ascii="仿宋" w:hAnsi="宋体" w:eastAsia="仿宋" w:cs="宋体"/>
                <w:sz w:val="24"/>
              </w:rPr>
            </w:pPr>
            <w:r>
              <w:rPr>
                <w:rFonts w:hint="eastAsia" w:ascii="仿宋" w:hAnsi="宋体" w:eastAsia="仿宋" w:cs="宋体"/>
                <w:sz w:val="24"/>
                <w:lang w:val="en-US" w:eastAsia="zh-CN"/>
              </w:rPr>
              <w:t>60</w:t>
            </w:r>
          </w:p>
        </w:tc>
        <w:tc>
          <w:tcPr>
            <w:tcW w:w="1213" w:type="dxa"/>
            <w:vAlign w:val="center"/>
          </w:tcPr>
          <w:p w14:paraId="34A2240A">
            <w:pPr>
              <w:widowControl/>
              <w:jc w:val="center"/>
              <w:rPr>
                <w:rFonts w:hint="eastAsia" w:ascii="仿宋" w:hAnsi="宋体" w:eastAsia="仿宋" w:cs="宋体"/>
                <w:sz w:val="24"/>
              </w:rPr>
            </w:pPr>
            <w:r>
              <w:rPr>
                <w:rFonts w:hint="eastAsia" w:ascii="仿宋" w:hAnsi="宋体" w:eastAsia="仿宋" w:cs="宋体"/>
                <w:sz w:val="24"/>
                <w:lang w:val="en-US" w:eastAsia="zh-CN"/>
              </w:rPr>
              <w:t>24180</w:t>
            </w:r>
          </w:p>
        </w:tc>
        <w:tc>
          <w:tcPr>
            <w:tcW w:w="1560" w:type="dxa"/>
            <w:vMerge w:val="restart"/>
            <w:vAlign w:val="center"/>
          </w:tcPr>
          <w:p w14:paraId="4B4D6FDF">
            <w:pPr>
              <w:widowControl/>
              <w:jc w:val="center"/>
              <w:rPr>
                <w:rFonts w:hint="eastAsia" w:ascii="仿宋" w:hAnsi="宋体" w:eastAsia="仿宋" w:cs="宋体"/>
                <w:sz w:val="24"/>
              </w:rPr>
            </w:pPr>
            <w:r>
              <w:rPr>
                <w:rFonts w:hint="eastAsia" w:ascii="仿宋" w:hAnsi="宋体" w:eastAsia="仿宋" w:cs="宋体"/>
                <w:sz w:val="24"/>
              </w:rPr>
              <w:t>初中一年级订购基数403人，家长可自愿选购，也可选择全套或单件采购。</w:t>
            </w:r>
          </w:p>
        </w:tc>
      </w:tr>
      <w:tr w14:paraId="6AD43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594" w:type="dxa"/>
            <w:vMerge w:val="continue"/>
            <w:vAlign w:val="center"/>
          </w:tcPr>
          <w:p w14:paraId="72861260">
            <w:pPr>
              <w:widowControl/>
              <w:jc w:val="center"/>
              <w:rPr>
                <w:rFonts w:hint="eastAsia" w:ascii="仿宋" w:hAnsi="宋体" w:eastAsia="仿宋" w:cs="宋体"/>
                <w:sz w:val="24"/>
              </w:rPr>
            </w:pPr>
          </w:p>
        </w:tc>
        <w:tc>
          <w:tcPr>
            <w:tcW w:w="1425" w:type="dxa"/>
            <w:vMerge w:val="continue"/>
            <w:vAlign w:val="center"/>
          </w:tcPr>
          <w:p w14:paraId="1C7BED88">
            <w:pPr>
              <w:widowControl/>
              <w:jc w:val="center"/>
              <w:rPr>
                <w:rFonts w:hint="eastAsia" w:ascii="仿宋" w:hAnsi="宋体" w:eastAsia="仿宋" w:cs="宋体"/>
                <w:sz w:val="24"/>
              </w:rPr>
            </w:pPr>
          </w:p>
        </w:tc>
        <w:tc>
          <w:tcPr>
            <w:tcW w:w="1378" w:type="dxa"/>
            <w:vAlign w:val="center"/>
          </w:tcPr>
          <w:p w14:paraId="5954293C">
            <w:pPr>
              <w:widowControl/>
              <w:jc w:val="center"/>
              <w:rPr>
                <w:rFonts w:hint="eastAsia" w:ascii="仿宋" w:hAnsi="宋体" w:eastAsia="仿宋" w:cs="宋体"/>
                <w:sz w:val="24"/>
              </w:rPr>
            </w:pPr>
            <w:r>
              <w:rPr>
                <w:rFonts w:hint="eastAsia" w:ascii="仿宋" w:hAnsi="宋体" w:eastAsia="仿宋" w:cs="宋体"/>
                <w:sz w:val="24"/>
              </w:rPr>
              <w:t>男短裤</w:t>
            </w:r>
          </w:p>
        </w:tc>
        <w:tc>
          <w:tcPr>
            <w:tcW w:w="938" w:type="dxa"/>
            <w:vMerge w:val="restart"/>
            <w:shd w:val="clear" w:color="auto" w:fill="auto"/>
            <w:vAlign w:val="center"/>
          </w:tcPr>
          <w:p w14:paraId="0CBED0CC">
            <w:pPr>
              <w:widowControl/>
              <w:jc w:val="center"/>
              <w:rPr>
                <w:rFonts w:hint="eastAsia" w:ascii="仿宋" w:hAnsi="宋体" w:eastAsia="仿宋" w:cs="宋体"/>
                <w:sz w:val="24"/>
              </w:rPr>
            </w:pPr>
            <w:r>
              <w:rPr>
                <w:rFonts w:hint="eastAsia" w:ascii="仿宋" w:hAnsi="宋体" w:eastAsia="仿宋" w:cs="宋体"/>
                <w:sz w:val="24"/>
              </w:rPr>
              <w:t>403</w:t>
            </w:r>
          </w:p>
        </w:tc>
        <w:tc>
          <w:tcPr>
            <w:tcW w:w="1203" w:type="dxa"/>
            <w:vMerge w:val="restart"/>
            <w:vAlign w:val="center"/>
          </w:tcPr>
          <w:p w14:paraId="0F5CC81A">
            <w:pPr>
              <w:widowControl/>
              <w:jc w:val="center"/>
              <w:rPr>
                <w:rFonts w:hint="eastAsia" w:ascii="仿宋" w:hAnsi="宋体" w:eastAsia="仿宋" w:cs="宋体"/>
                <w:sz w:val="24"/>
              </w:rPr>
            </w:pPr>
            <w:r>
              <w:rPr>
                <w:rFonts w:hint="eastAsia" w:ascii="仿宋" w:hAnsi="宋体" w:eastAsia="仿宋" w:cs="宋体"/>
                <w:sz w:val="24"/>
                <w:lang w:val="en-US" w:eastAsia="zh-CN"/>
              </w:rPr>
              <w:t>65</w:t>
            </w:r>
          </w:p>
        </w:tc>
        <w:tc>
          <w:tcPr>
            <w:tcW w:w="1213" w:type="dxa"/>
            <w:vMerge w:val="restart"/>
            <w:vAlign w:val="center"/>
          </w:tcPr>
          <w:p w14:paraId="75754471">
            <w:pPr>
              <w:widowControl/>
              <w:jc w:val="center"/>
              <w:rPr>
                <w:rFonts w:hint="eastAsia" w:ascii="仿宋" w:hAnsi="宋体" w:eastAsia="仿宋" w:cs="宋体"/>
                <w:sz w:val="24"/>
              </w:rPr>
            </w:pPr>
            <w:r>
              <w:rPr>
                <w:rFonts w:hint="eastAsia" w:ascii="仿宋" w:hAnsi="宋体" w:eastAsia="仿宋" w:cs="宋体"/>
                <w:sz w:val="24"/>
                <w:lang w:val="en-US" w:eastAsia="zh-CN"/>
              </w:rPr>
              <w:t>26195</w:t>
            </w:r>
          </w:p>
        </w:tc>
        <w:tc>
          <w:tcPr>
            <w:tcW w:w="1560" w:type="dxa"/>
            <w:vMerge w:val="continue"/>
            <w:vAlign w:val="center"/>
          </w:tcPr>
          <w:p w14:paraId="2ECF8954">
            <w:pPr>
              <w:widowControl/>
              <w:jc w:val="center"/>
              <w:rPr>
                <w:rFonts w:hint="eastAsia" w:ascii="仿宋" w:hAnsi="宋体" w:eastAsia="仿宋" w:cs="宋体"/>
                <w:sz w:val="24"/>
              </w:rPr>
            </w:pPr>
          </w:p>
        </w:tc>
      </w:tr>
      <w:tr w14:paraId="61480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594" w:type="dxa"/>
            <w:vMerge w:val="continue"/>
            <w:vAlign w:val="center"/>
          </w:tcPr>
          <w:p w14:paraId="69B9799C">
            <w:pPr>
              <w:widowControl/>
              <w:jc w:val="center"/>
              <w:rPr>
                <w:rFonts w:hint="eastAsia" w:ascii="仿宋" w:hAnsi="宋体" w:eastAsia="仿宋" w:cs="宋体"/>
                <w:sz w:val="24"/>
              </w:rPr>
            </w:pPr>
          </w:p>
        </w:tc>
        <w:tc>
          <w:tcPr>
            <w:tcW w:w="1425" w:type="dxa"/>
            <w:vMerge w:val="continue"/>
            <w:vAlign w:val="center"/>
          </w:tcPr>
          <w:p w14:paraId="0B7B379B">
            <w:pPr>
              <w:widowControl/>
              <w:jc w:val="center"/>
              <w:rPr>
                <w:rFonts w:hint="eastAsia" w:ascii="仿宋" w:hAnsi="宋体" w:eastAsia="仿宋" w:cs="宋体"/>
                <w:sz w:val="24"/>
              </w:rPr>
            </w:pPr>
          </w:p>
        </w:tc>
        <w:tc>
          <w:tcPr>
            <w:tcW w:w="1378" w:type="dxa"/>
            <w:vAlign w:val="center"/>
          </w:tcPr>
          <w:p w14:paraId="1110F84C">
            <w:pPr>
              <w:widowControl/>
              <w:jc w:val="center"/>
              <w:rPr>
                <w:rFonts w:hint="eastAsia" w:ascii="仿宋" w:hAnsi="宋体" w:eastAsia="仿宋" w:cs="宋体"/>
                <w:sz w:val="24"/>
              </w:rPr>
            </w:pPr>
            <w:r>
              <w:rPr>
                <w:rFonts w:hint="eastAsia" w:ascii="仿宋" w:hAnsi="宋体" w:eastAsia="仿宋" w:cs="宋体"/>
                <w:sz w:val="24"/>
              </w:rPr>
              <w:t>女裙裤</w:t>
            </w:r>
          </w:p>
        </w:tc>
        <w:tc>
          <w:tcPr>
            <w:tcW w:w="938" w:type="dxa"/>
            <w:vMerge w:val="continue"/>
            <w:vAlign w:val="center"/>
          </w:tcPr>
          <w:p w14:paraId="53123DEC">
            <w:pPr>
              <w:widowControl/>
              <w:jc w:val="center"/>
              <w:rPr>
                <w:rFonts w:hint="eastAsia" w:ascii="仿宋" w:hAnsi="宋体" w:eastAsia="仿宋" w:cs="宋体"/>
                <w:sz w:val="24"/>
              </w:rPr>
            </w:pPr>
          </w:p>
        </w:tc>
        <w:tc>
          <w:tcPr>
            <w:tcW w:w="1203" w:type="dxa"/>
            <w:vMerge w:val="continue"/>
            <w:vAlign w:val="center"/>
          </w:tcPr>
          <w:p w14:paraId="7DDE570E">
            <w:pPr>
              <w:widowControl/>
              <w:jc w:val="center"/>
              <w:rPr>
                <w:rFonts w:hint="eastAsia" w:ascii="仿宋" w:hAnsi="宋体" w:eastAsia="仿宋" w:cs="宋体"/>
                <w:sz w:val="24"/>
              </w:rPr>
            </w:pPr>
          </w:p>
        </w:tc>
        <w:tc>
          <w:tcPr>
            <w:tcW w:w="1213" w:type="dxa"/>
            <w:vMerge w:val="continue"/>
            <w:vAlign w:val="center"/>
          </w:tcPr>
          <w:p w14:paraId="55BEA97F">
            <w:pPr>
              <w:widowControl/>
              <w:jc w:val="center"/>
              <w:rPr>
                <w:rFonts w:hint="eastAsia" w:ascii="仿宋" w:hAnsi="宋体" w:eastAsia="仿宋" w:cs="宋体"/>
                <w:sz w:val="24"/>
              </w:rPr>
            </w:pPr>
          </w:p>
        </w:tc>
        <w:tc>
          <w:tcPr>
            <w:tcW w:w="1560" w:type="dxa"/>
            <w:vMerge w:val="continue"/>
            <w:vAlign w:val="center"/>
          </w:tcPr>
          <w:p w14:paraId="0E795F41">
            <w:pPr>
              <w:widowControl/>
              <w:jc w:val="center"/>
              <w:rPr>
                <w:rFonts w:hint="eastAsia" w:ascii="仿宋" w:hAnsi="宋体" w:eastAsia="仿宋" w:cs="宋体"/>
                <w:sz w:val="24"/>
              </w:rPr>
            </w:pPr>
          </w:p>
        </w:tc>
      </w:tr>
      <w:tr w14:paraId="4BFEB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94" w:type="dxa"/>
            <w:vMerge w:val="restart"/>
            <w:vAlign w:val="center"/>
          </w:tcPr>
          <w:p w14:paraId="2417DDBD">
            <w:pPr>
              <w:widowControl/>
              <w:jc w:val="center"/>
              <w:rPr>
                <w:rFonts w:hint="eastAsia" w:ascii="仿宋" w:hAnsi="宋体" w:eastAsia="仿宋" w:cs="宋体"/>
                <w:sz w:val="24"/>
              </w:rPr>
            </w:pPr>
            <w:r>
              <w:rPr>
                <w:rFonts w:hint="eastAsia" w:ascii="仿宋" w:hAnsi="宋体" w:eastAsia="仿宋" w:cs="宋体"/>
                <w:sz w:val="24"/>
              </w:rPr>
              <w:t>2</w:t>
            </w:r>
          </w:p>
        </w:tc>
        <w:tc>
          <w:tcPr>
            <w:tcW w:w="1425" w:type="dxa"/>
            <w:vMerge w:val="restart"/>
            <w:vAlign w:val="center"/>
          </w:tcPr>
          <w:p w14:paraId="42A2702E">
            <w:pPr>
              <w:widowControl/>
              <w:jc w:val="center"/>
              <w:rPr>
                <w:rFonts w:hint="eastAsia" w:ascii="仿宋" w:hAnsi="宋体" w:eastAsia="仿宋" w:cs="宋体"/>
                <w:sz w:val="24"/>
              </w:rPr>
            </w:pPr>
            <w:r>
              <w:rPr>
                <w:rFonts w:hint="eastAsia" w:ascii="仿宋" w:hAnsi="宋体" w:eastAsia="仿宋" w:cs="宋体"/>
                <w:sz w:val="24"/>
              </w:rPr>
              <w:t>春秋套装</w:t>
            </w:r>
          </w:p>
          <w:p w14:paraId="6CB66A5A">
            <w:pPr>
              <w:widowControl/>
              <w:jc w:val="center"/>
              <w:rPr>
                <w:rFonts w:hint="eastAsia" w:ascii="仿宋" w:hAnsi="宋体" w:eastAsia="仿宋" w:cs="宋体"/>
                <w:sz w:val="24"/>
              </w:rPr>
            </w:pPr>
            <w:r>
              <w:rPr>
                <w:rFonts w:hint="eastAsia" w:ascii="仿宋" w:hAnsi="宋体" w:eastAsia="仿宋" w:cs="宋体"/>
                <w:sz w:val="24"/>
              </w:rPr>
              <w:t>（含校徽）</w:t>
            </w:r>
          </w:p>
        </w:tc>
        <w:tc>
          <w:tcPr>
            <w:tcW w:w="1378" w:type="dxa"/>
            <w:vAlign w:val="center"/>
          </w:tcPr>
          <w:p w14:paraId="2D1AF023">
            <w:pPr>
              <w:widowControl/>
              <w:jc w:val="center"/>
              <w:rPr>
                <w:rFonts w:hint="eastAsia" w:ascii="仿宋" w:hAnsi="宋体" w:eastAsia="仿宋" w:cs="宋体"/>
                <w:sz w:val="24"/>
              </w:rPr>
            </w:pPr>
            <w:r>
              <w:rPr>
                <w:rFonts w:hint="eastAsia" w:ascii="仿宋" w:hAnsi="宋体" w:eastAsia="仿宋" w:cs="宋体"/>
                <w:sz w:val="24"/>
              </w:rPr>
              <w:t>运动上衣</w:t>
            </w:r>
          </w:p>
        </w:tc>
        <w:tc>
          <w:tcPr>
            <w:tcW w:w="938" w:type="dxa"/>
            <w:shd w:val="clear" w:color="auto" w:fill="auto"/>
            <w:noWrap/>
            <w:vAlign w:val="center"/>
          </w:tcPr>
          <w:p w14:paraId="7D7B48DA">
            <w:pPr>
              <w:widowControl/>
              <w:jc w:val="center"/>
              <w:rPr>
                <w:rFonts w:hint="eastAsia" w:ascii="仿宋" w:hAnsi="宋体" w:eastAsia="仿宋" w:cs="宋体"/>
                <w:sz w:val="24"/>
              </w:rPr>
            </w:pPr>
            <w:r>
              <w:rPr>
                <w:rFonts w:hint="eastAsia" w:ascii="仿宋" w:hAnsi="宋体" w:eastAsia="仿宋" w:cs="宋体"/>
                <w:sz w:val="24"/>
              </w:rPr>
              <w:t>403</w:t>
            </w:r>
          </w:p>
        </w:tc>
        <w:tc>
          <w:tcPr>
            <w:tcW w:w="1203" w:type="dxa"/>
            <w:noWrap/>
            <w:vAlign w:val="center"/>
          </w:tcPr>
          <w:p w14:paraId="7DA6C0BD">
            <w:pPr>
              <w:widowControl/>
              <w:jc w:val="center"/>
              <w:rPr>
                <w:rFonts w:hint="eastAsia" w:ascii="仿宋" w:hAnsi="宋体" w:eastAsia="仿宋" w:cs="宋体"/>
                <w:sz w:val="24"/>
              </w:rPr>
            </w:pPr>
            <w:r>
              <w:rPr>
                <w:rFonts w:hint="eastAsia" w:ascii="仿宋" w:hAnsi="宋体" w:eastAsia="仿宋" w:cs="宋体"/>
                <w:sz w:val="24"/>
                <w:lang w:val="en-US" w:eastAsia="zh-CN"/>
              </w:rPr>
              <w:t>115</w:t>
            </w:r>
          </w:p>
        </w:tc>
        <w:tc>
          <w:tcPr>
            <w:tcW w:w="1213" w:type="dxa"/>
            <w:noWrap/>
            <w:vAlign w:val="center"/>
          </w:tcPr>
          <w:p w14:paraId="013D0215">
            <w:pPr>
              <w:widowControl/>
              <w:jc w:val="center"/>
              <w:rPr>
                <w:rFonts w:hint="eastAsia" w:ascii="仿宋" w:hAnsi="宋体" w:eastAsia="仿宋" w:cs="宋体"/>
                <w:sz w:val="24"/>
              </w:rPr>
            </w:pPr>
            <w:r>
              <w:rPr>
                <w:rFonts w:hint="eastAsia" w:ascii="仿宋" w:hAnsi="宋体" w:eastAsia="仿宋" w:cs="宋体"/>
                <w:sz w:val="24"/>
                <w:lang w:val="en-US" w:eastAsia="zh-CN"/>
              </w:rPr>
              <w:t>46345</w:t>
            </w:r>
          </w:p>
        </w:tc>
        <w:tc>
          <w:tcPr>
            <w:tcW w:w="1560" w:type="dxa"/>
            <w:vMerge w:val="continue"/>
            <w:noWrap/>
            <w:vAlign w:val="center"/>
          </w:tcPr>
          <w:p w14:paraId="1C859701">
            <w:pPr>
              <w:widowControl/>
              <w:jc w:val="center"/>
              <w:rPr>
                <w:rFonts w:hint="eastAsia" w:ascii="仿宋" w:hAnsi="宋体" w:eastAsia="仿宋" w:cs="宋体"/>
                <w:sz w:val="24"/>
              </w:rPr>
            </w:pPr>
          </w:p>
        </w:tc>
      </w:tr>
      <w:tr w14:paraId="62CF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594" w:type="dxa"/>
            <w:vMerge w:val="continue"/>
            <w:vAlign w:val="center"/>
          </w:tcPr>
          <w:p w14:paraId="06C289E5">
            <w:pPr>
              <w:widowControl/>
              <w:jc w:val="center"/>
              <w:rPr>
                <w:rFonts w:hint="eastAsia" w:ascii="仿宋" w:hAnsi="宋体" w:eastAsia="仿宋" w:cs="宋体"/>
                <w:sz w:val="24"/>
              </w:rPr>
            </w:pPr>
          </w:p>
        </w:tc>
        <w:tc>
          <w:tcPr>
            <w:tcW w:w="1425" w:type="dxa"/>
            <w:vMerge w:val="continue"/>
            <w:vAlign w:val="center"/>
          </w:tcPr>
          <w:p w14:paraId="7030B9DB">
            <w:pPr>
              <w:widowControl/>
              <w:jc w:val="center"/>
              <w:rPr>
                <w:rFonts w:hint="eastAsia" w:ascii="仿宋" w:hAnsi="宋体" w:eastAsia="仿宋" w:cs="宋体"/>
                <w:sz w:val="24"/>
              </w:rPr>
            </w:pPr>
          </w:p>
        </w:tc>
        <w:tc>
          <w:tcPr>
            <w:tcW w:w="1378" w:type="dxa"/>
            <w:vAlign w:val="center"/>
          </w:tcPr>
          <w:p w14:paraId="1856F215">
            <w:pPr>
              <w:widowControl/>
              <w:jc w:val="center"/>
              <w:rPr>
                <w:rFonts w:hint="eastAsia" w:ascii="仿宋" w:hAnsi="宋体" w:eastAsia="仿宋" w:cs="宋体"/>
                <w:sz w:val="24"/>
              </w:rPr>
            </w:pPr>
            <w:r>
              <w:rPr>
                <w:rFonts w:hint="eastAsia" w:ascii="仿宋" w:hAnsi="宋体" w:eastAsia="仿宋" w:cs="宋体"/>
                <w:sz w:val="24"/>
              </w:rPr>
              <w:t>运动裤</w:t>
            </w:r>
          </w:p>
        </w:tc>
        <w:tc>
          <w:tcPr>
            <w:tcW w:w="938" w:type="dxa"/>
            <w:shd w:val="clear" w:color="auto" w:fill="auto"/>
            <w:noWrap/>
            <w:vAlign w:val="center"/>
          </w:tcPr>
          <w:p w14:paraId="5A91DC47">
            <w:pPr>
              <w:widowControl/>
              <w:jc w:val="center"/>
              <w:rPr>
                <w:rFonts w:hint="eastAsia" w:ascii="仿宋" w:hAnsi="宋体" w:eastAsia="仿宋" w:cs="宋体"/>
                <w:sz w:val="24"/>
              </w:rPr>
            </w:pPr>
            <w:r>
              <w:rPr>
                <w:rFonts w:hint="eastAsia" w:ascii="仿宋" w:hAnsi="宋体" w:eastAsia="仿宋" w:cs="宋体"/>
                <w:sz w:val="24"/>
              </w:rPr>
              <w:t>403</w:t>
            </w:r>
          </w:p>
        </w:tc>
        <w:tc>
          <w:tcPr>
            <w:tcW w:w="1203" w:type="dxa"/>
            <w:noWrap/>
            <w:vAlign w:val="center"/>
          </w:tcPr>
          <w:p w14:paraId="28BC8907">
            <w:pPr>
              <w:widowControl/>
              <w:jc w:val="center"/>
              <w:rPr>
                <w:rFonts w:hint="eastAsia" w:ascii="仿宋" w:hAnsi="宋体" w:eastAsia="仿宋" w:cs="宋体"/>
                <w:sz w:val="24"/>
              </w:rPr>
            </w:pPr>
            <w:r>
              <w:rPr>
                <w:rFonts w:hint="eastAsia" w:ascii="仿宋" w:hAnsi="宋体" w:eastAsia="仿宋" w:cs="宋体"/>
                <w:sz w:val="24"/>
                <w:lang w:val="en-US" w:eastAsia="zh-CN"/>
              </w:rPr>
              <w:t>90</w:t>
            </w:r>
          </w:p>
        </w:tc>
        <w:tc>
          <w:tcPr>
            <w:tcW w:w="1213" w:type="dxa"/>
            <w:noWrap/>
            <w:vAlign w:val="center"/>
          </w:tcPr>
          <w:p w14:paraId="63E1A756">
            <w:pPr>
              <w:widowControl/>
              <w:jc w:val="center"/>
              <w:rPr>
                <w:rFonts w:hint="eastAsia" w:ascii="仿宋" w:hAnsi="宋体" w:eastAsia="仿宋" w:cs="宋体"/>
                <w:sz w:val="24"/>
              </w:rPr>
            </w:pPr>
            <w:r>
              <w:rPr>
                <w:rFonts w:hint="eastAsia" w:ascii="仿宋" w:hAnsi="宋体" w:eastAsia="仿宋" w:cs="宋体"/>
                <w:sz w:val="24"/>
                <w:lang w:val="en-US" w:eastAsia="zh-CN"/>
              </w:rPr>
              <w:t>36270</w:t>
            </w:r>
          </w:p>
        </w:tc>
        <w:tc>
          <w:tcPr>
            <w:tcW w:w="1560" w:type="dxa"/>
            <w:vMerge w:val="continue"/>
            <w:noWrap/>
            <w:vAlign w:val="center"/>
          </w:tcPr>
          <w:p w14:paraId="62DD6741">
            <w:pPr>
              <w:jc w:val="center"/>
              <w:rPr>
                <w:rFonts w:hint="eastAsia" w:ascii="宋体" w:hAnsi="宋体" w:eastAsia="宋体" w:cs="宋体"/>
                <w:bCs/>
                <w:sz w:val="24"/>
              </w:rPr>
            </w:pPr>
          </w:p>
        </w:tc>
      </w:tr>
      <w:tr w14:paraId="770BC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3397" w:type="dxa"/>
            <w:gridSpan w:val="3"/>
            <w:vAlign w:val="center"/>
          </w:tcPr>
          <w:p w14:paraId="3F273991">
            <w:pPr>
              <w:widowControl/>
              <w:jc w:val="center"/>
              <w:rPr>
                <w:rFonts w:hint="eastAsia" w:ascii="仿宋" w:hAnsi="宋体" w:eastAsia="仿宋" w:cs="宋体"/>
                <w:sz w:val="24"/>
              </w:rPr>
            </w:pPr>
            <w:r>
              <w:rPr>
                <w:rFonts w:hint="eastAsia" w:ascii="仿宋" w:hAnsi="宋体" w:eastAsia="仿宋" w:cs="宋体"/>
                <w:sz w:val="24"/>
              </w:rPr>
              <w:t>合计</w:t>
            </w:r>
          </w:p>
        </w:tc>
        <w:tc>
          <w:tcPr>
            <w:tcW w:w="938" w:type="dxa"/>
            <w:shd w:val="clear" w:color="auto" w:fill="auto"/>
            <w:noWrap/>
            <w:vAlign w:val="center"/>
          </w:tcPr>
          <w:p w14:paraId="5ED839C7">
            <w:pPr>
              <w:widowControl/>
              <w:jc w:val="center"/>
              <w:rPr>
                <w:rFonts w:hint="eastAsia" w:ascii="仿宋" w:hAnsi="宋体" w:eastAsia="仿宋" w:cs="宋体"/>
                <w:sz w:val="24"/>
              </w:rPr>
            </w:pPr>
            <w:r>
              <w:rPr>
                <w:rFonts w:hint="eastAsia" w:ascii="仿宋" w:hAnsi="宋体" w:eastAsia="仿宋" w:cs="宋体"/>
                <w:sz w:val="24"/>
              </w:rPr>
              <w:t>403</w:t>
            </w:r>
          </w:p>
        </w:tc>
        <w:tc>
          <w:tcPr>
            <w:tcW w:w="1203" w:type="dxa"/>
            <w:shd w:val="clear" w:color="auto" w:fill="auto"/>
            <w:noWrap/>
            <w:vAlign w:val="center"/>
          </w:tcPr>
          <w:p w14:paraId="282D79C9">
            <w:pPr>
              <w:widowControl/>
              <w:jc w:val="center"/>
              <w:rPr>
                <w:rFonts w:hint="eastAsia" w:ascii="仿宋" w:hAnsi="宋体" w:eastAsia="仿宋" w:cs="宋体"/>
                <w:sz w:val="24"/>
                <w:lang w:eastAsia="zh-CN"/>
              </w:rPr>
            </w:pPr>
            <w:r>
              <w:rPr>
                <w:rFonts w:hint="eastAsia" w:ascii="仿宋" w:hAnsi="宋体" w:eastAsia="仿宋" w:cs="宋体"/>
                <w:sz w:val="24"/>
                <w:lang w:eastAsia="zh-CN"/>
              </w:rPr>
              <w:t>330</w:t>
            </w:r>
          </w:p>
        </w:tc>
        <w:tc>
          <w:tcPr>
            <w:tcW w:w="1213" w:type="dxa"/>
            <w:shd w:val="clear" w:color="auto" w:fill="auto"/>
            <w:noWrap/>
            <w:vAlign w:val="center"/>
          </w:tcPr>
          <w:p w14:paraId="73A5DC79">
            <w:pPr>
              <w:widowControl/>
              <w:jc w:val="center"/>
              <w:rPr>
                <w:rFonts w:hint="eastAsia" w:ascii="仿宋" w:hAnsi="宋体" w:eastAsia="仿宋" w:cs="宋体"/>
                <w:sz w:val="24"/>
                <w:lang w:val="en-US" w:eastAsia="zh-CN"/>
              </w:rPr>
            </w:pPr>
            <w:r>
              <w:rPr>
                <w:rFonts w:hint="eastAsia" w:ascii="仿宋" w:hAnsi="宋体" w:eastAsia="仿宋" w:cs="宋体"/>
                <w:sz w:val="24"/>
                <w:lang w:val="en-US" w:eastAsia="zh-CN"/>
              </w:rPr>
              <w:t>132990</w:t>
            </w:r>
          </w:p>
        </w:tc>
        <w:tc>
          <w:tcPr>
            <w:tcW w:w="1560" w:type="dxa"/>
            <w:vMerge w:val="continue"/>
            <w:noWrap/>
            <w:vAlign w:val="center"/>
          </w:tcPr>
          <w:p w14:paraId="3D080099">
            <w:pPr>
              <w:jc w:val="center"/>
              <w:rPr>
                <w:rFonts w:hint="eastAsia" w:ascii="宋体" w:hAnsi="宋体" w:eastAsia="宋体" w:cs="宋体"/>
                <w:bCs/>
                <w:sz w:val="24"/>
              </w:rPr>
            </w:pPr>
          </w:p>
        </w:tc>
      </w:tr>
    </w:tbl>
    <w:p w14:paraId="196FD199">
      <w:pPr>
        <w:spacing w:before="200" w:after="100"/>
        <w:jc w:val="left"/>
        <w:outlineLvl w:val="1"/>
        <w:rPr>
          <w:rFonts w:hint="eastAsia" w:ascii="楷体" w:hAnsi="宋体" w:eastAsia="楷体" w:cs="宋体"/>
          <w:sz w:val="32"/>
        </w:rPr>
      </w:pPr>
      <w:r>
        <w:rPr>
          <w:rFonts w:hint="eastAsia" w:ascii="楷体" w:hAnsi="宋体" w:eastAsia="楷体" w:cs="宋体"/>
          <w:sz w:val="32"/>
        </w:rPr>
        <w:t>（七）供应商要求</w:t>
      </w:r>
    </w:p>
    <w:p w14:paraId="71C8A9A1">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1.中标年限：1年（根据吴教办函〔2026〕1号要求，本项目实行“一年一采”）。</w:t>
      </w:r>
    </w:p>
    <w:p w14:paraId="3A207788">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2.售后服务期：3年（中标后3年内，2026级学生校服的维修、调换以及零星补购由本次中标供应商提供）。</w:t>
      </w:r>
    </w:p>
    <w:p w14:paraId="0A966192">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3.供应商资质：供应商需具备独立法人资格，持有有效的营业执照；具备校服生产相关资质，提供近3年内在校服生产销售领域的相关业绩证明；具备完善的质量管理体系认证、环境管理体系认证等相关资质。不得向黑名单企业购买校服。</w:t>
      </w:r>
    </w:p>
    <w:p w14:paraId="4629C441">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4.售后服务：</w:t>
      </w:r>
    </w:p>
    <w:p w14:paraId="4B5ABD84">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（1）质保服务：中标供应商对所有产品提供不少于</w:t>
      </w:r>
      <w:r>
        <w:rPr>
          <w:rFonts w:hint="eastAsia" w:ascii="仿宋" w:eastAsia="仿宋" w:hAnsiTheme="minorEastAsia" w:cstheme="minorEastAsia"/>
          <w:b/>
          <w:bCs/>
          <w:sz w:val="24"/>
          <w:u w:val="single"/>
        </w:rPr>
        <w:t>一年</w:t>
      </w:r>
      <w:r>
        <w:rPr>
          <w:rFonts w:hint="eastAsia" w:ascii="仿宋" w:eastAsia="仿宋" w:hAnsiTheme="minorEastAsia" w:cstheme="minorEastAsia"/>
          <w:sz w:val="24"/>
        </w:rPr>
        <w:t>的免费质保。校服交付发放后，若出现尺码不合、做工瑕疵、面料破损等问题，中标供应商需在收到退换申请后</w:t>
      </w:r>
      <w:r>
        <w:rPr>
          <w:rFonts w:hint="eastAsia" w:ascii="仿宋" w:eastAsia="仿宋" w:hAnsiTheme="minorEastAsia" w:cstheme="minorEastAsia"/>
          <w:b/>
          <w:bCs/>
          <w:sz w:val="24"/>
          <w:u w:val="single"/>
        </w:rPr>
        <w:t>7</w:t>
      </w:r>
      <w:r>
        <w:rPr>
          <w:rFonts w:hint="eastAsia" w:ascii="仿宋" w:eastAsia="仿宋" w:hAnsiTheme="minorEastAsia" w:cstheme="minorEastAsia"/>
          <w:sz w:val="24"/>
        </w:rPr>
        <w:t>个工作日内完成免费退换，往返物流费用由中标供应商承担。学生穿着一年内，出现非人为因素造成的质量缺陷（如非正常开线、严重色牢度不达标褪色、面料撕裂（拔丝）、严重起球、变形缩水等，质量判定标准执行 GB/T31888《中小学生校服》），中标供应商须提供免费维修或更换。质保期从需方代表签字验收合格之日起执行。</w:t>
      </w:r>
    </w:p>
    <w:p w14:paraId="73254ADD">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（2）售后服务：中标供应商应建立以学校为单位的校服服务体系并提供</w:t>
      </w:r>
      <w:r>
        <w:rPr>
          <w:rFonts w:hint="eastAsia" w:ascii="仿宋" w:eastAsia="仿宋" w:hAnsiTheme="minorEastAsia" w:cstheme="minorEastAsia"/>
          <w:b/>
          <w:bCs/>
          <w:sz w:val="24"/>
          <w:u w:val="single"/>
        </w:rPr>
        <w:t>三年</w:t>
      </w:r>
      <w:r>
        <w:rPr>
          <w:rFonts w:hint="eastAsia" w:ascii="仿宋" w:eastAsia="仿宋" w:hAnsiTheme="minorEastAsia" w:cstheme="minorEastAsia"/>
          <w:sz w:val="24"/>
        </w:rPr>
        <w:t>售后服务，提供相对固定的购买渠道（如线下门店或线上小程序等），备足货源，方便学生家长调换、修补、零星购买，在收到家长售后申请后</w:t>
      </w:r>
      <w:r>
        <w:rPr>
          <w:rFonts w:hint="eastAsia" w:ascii="仿宋" w:eastAsia="仿宋" w:hAnsiTheme="minorEastAsia" w:cstheme="minorEastAsia"/>
          <w:b/>
          <w:bCs/>
          <w:sz w:val="24"/>
          <w:u w:val="single"/>
        </w:rPr>
        <w:t>7</w:t>
      </w:r>
      <w:r>
        <w:rPr>
          <w:rFonts w:hint="eastAsia" w:ascii="仿宋" w:eastAsia="仿宋" w:hAnsiTheme="minorEastAsia" w:cstheme="minorEastAsia"/>
          <w:sz w:val="24"/>
        </w:rPr>
        <w:t>个工作日内中标供应商应完成售后服务。对家长后期增补购买的校服价格不得高于中标价，包装费、快递费等由中标供应商承担。售后服务期从需方代表签字验收合格之日起执行。</w:t>
      </w:r>
    </w:p>
    <w:p w14:paraId="78B5FF49">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（3）供应商所有提供的货物如有质量问题，应在接到甲方通知后</w:t>
      </w:r>
      <w:r>
        <w:rPr>
          <w:rFonts w:hint="eastAsia" w:ascii="仿宋" w:eastAsia="仿宋" w:hAnsiTheme="minorEastAsia" w:cstheme="minorEastAsia"/>
          <w:b/>
          <w:bCs/>
          <w:sz w:val="24"/>
          <w:u w:val="single"/>
        </w:rPr>
        <w:t xml:space="preserve"> 2</w:t>
      </w:r>
      <w:r>
        <w:rPr>
          <w:rFonts w:hint="eastAsia" w:ascii="仿宋" w:eastAsia="仿宋" w:hAnsiTheme="minorEastAsia" w:cstheme="minorEastAsia"/>
          <w:sz w:val="24"/>
        </w:rPr>
        <w:t>小时内到现场解决，特殊情况须</w:t>
      </w:r>
      <w:r>
        <w:rPr>
          <w:rFonts w:hint="eastAsia" w:ascii="仿宋" w:eastAsia="仿宋" w:hAnsiTheme="minorEastAsia" w:cstheme="minorEastAsia"/>
          <w:b/>
          <w:bCs/>
          <w:sz w:val="24"/>
          <w:u w:val="single"/>
        </w:rPr>
        <w:t xml:space="preserve"> 24 </w:t>
      </w:r>
      <w:r>
        <w:rPr>
          <w:rFonts w:hint="eastAsia" w:ascii="仿宋" w:eastAsia="仿宋" w:hAnsiTheme="minorEastAsia" w:cstheme="minorEastAsia"/>
          <w:sz w:val="24"/>
        </w:rPr>
        <w:t>小时到现场解决，且对于有质量问题的产品必须尽快给予免费调换。逾期未处理，甲方可委托第三方解决，产生费用由供应商承担，并且供应商须额外支付产生费用</w:t>
      </w:r>
      <w:r>
        <w:rPr>
          <w:rFonts w:hint="eastAsia" w:ascii="仿宋" w:eastAsia="仿宋" w:hAnsiTheme="minorEastAsia" w:cstheme="minorEastAsia"/>
          <w:b/>
          <w:bCs/>
          <w:sz w:val="24"/>
          <w:u w:val="single"/>
        </w:rPr>
        <w:t>5</w:t>
      </w:r>
      <w:r>
        <w:rPr>
          <w:rFonts w:hint="eastAsia" w:ascii="仿宋" w:eastAsia="仿宋" w:hAnsiTheme="minorEastAsia" w:cstheme="minorEastAsia"/>
          <w:sz w:val="24"/>
        </w:rPr>
        <w:t>%的违约金。</w:t>
      </w:r>
    </w:p>
    <w:p w14:paraId="790F8F39">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（4）如供应商存在送检不合格两次或以上或有市场监管部门较大行政处罚的将列入“黑名单”，五年内不得供应校服。核定有陪标串标行为的企业，终生不得参与校服供货。</w:t>
      </w:r>
    </w:p>
    <w:p w14:paraId="64F679B6">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（5）备货要求</w:t>
      </w:r>
    </w:p>
    <w:p w14:paraId="5EA82CA2">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中标供应商须备多于合同总数10 %以上的货物以供封存备查、学生调换（尺码不匹配）、质保、后期增补订等用途，其余量身定制类数量应保证调换到位。在完成发放后，除封存备查的校服外，多余的备货由供应商带回厂家仓库。</w:t>
      </w:r>
    </w:p>
    <w:p w14:paraId="74C523CE">
      <w:pPr>
        <w:spacing w:before="200" w:after="100"/>
        <w:jc w:val="left"/>
        <w:outlineLvl w:val="0"/>
        <w:rPr>
          <w:rFonts w:hint="eastAsia" w:ascii="黑体" w:hAnsi="宋体" w:eastAsia="黑体" w:cs="宋体"/>
          <w:sz w:val="32"/>
        </w:rPr>
      </w:pPr>
      <w:r>
        <w:rPr>
          <w:rFonts w:hint="eastAsia" w:ascii="黑体" w:hAnsi="宋体" w:eastAsia="黑体" w:cs="宋体"/>
          <w:sz w:val="30"/>
          <w:szCs w:val="30"/>
        </w:rPr>
        <w:t>五、采购工作流程与时间安排</w:t>
      </w:r>
    </w:p>
    <w:p w14:paraId="49FB97B0">
      <w:pPr>
        <w:spacing w:before="200" w:after="100"/>
        <w:jc w:val="left"/>
        <w:outlineLvl w:val="1"/>
        <w:rPr>
          <w:rFonts w:hint="eastAsia" w:ascii="楷体" w:hAnsi="宋体" w:eastAsia="楷体" w:cs="宋体"/>
          <w:sz w:val="32"/>
        </w:rPr>
      </w:pPr>
      <w:r>
        <w:rPr>
          <w:rFonts w:hint="eastAsia" w:ascii="楷体" w:hAnsi="宋体" w:eastAsia="楷体" w:cs="宋体"/>
          <w:sz w:val="32"/>
        </w:rPr>
        <w:t>（一）流程步骤</w:t>
      </w:r>
    </w:p>
    <w:p w14:paraId="53F70C89">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1.确定招标代理机构：通过中介超市完成招标代理机构的筛选与确定，委托其负责本次校服采购的招标相关工作。</w:t>
      </w:r>
    </w:p>
    <w:p w14:paraId="47A8B631">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2.招标：由代理机构编制招标文件，发布招标公告，公告期限5个工作日。评分办法采用综合评分法：校服的价格分为</w:t>
      </w:r>
      <w:r>
        <w:rPr>
          <w:rFonts w:hint="eastAsia" w:ascii="仿宋" w:eastAsia="仿宋" w:hAnsiTheme="minorEastAsia" w:cstheme="minorEastAsia"/>
          <w:b/>
          <w:bCs/>
          <w:sz w:val="24"/>
        </w:rPr>
        <w:t>30分</w:t>
      </w:r>
      <w:r>
        <w:rPr>
          <w:rFonts w:hint="eastAsia" w:ascii="仿宋" w:eastAsia="仿宋" w:hAnsiTheme="minorEastAsia" w:cstheme="minorEastAsia"/>
          <w:sz w:val="24"/>
        </w:rPr>
        <w:t>（价格分采用低价优先法计算，即满足招标文件要求且投标价格最低的投标报价为评标基准价，其价格分为满分）；其它评审因素与投标人所提供校服的质量和服务相关，包括但不限于技术水平、履约能力、售后服务方案等。</w:t>
      </w:r>
    </w:p>
    <w:p w14:paraId="2E624826">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3.开标与评审：代理机构接收供应商投标文件、样品，组织开标、评标。评标委员会组成：</w:t>
      </w:r>
      <w:r>
        <w:rPr>
          <w:rFonts w:hint="eastAsia" w:ascii="仿宋" w:eastAsia="仿宋" w:hAnsiTheme="minorEastAsia" w:cstheme="minorEastAsia"/>
          <w:sz w:val="24"/>
          <w:lang w:val="zh-TW"/>
        </w:rPr>
        <w:t>人数为7人，其中</w:t>
      </w:r>
      <w:r>
        <w:rPr>
          <w:rFonts w:hint="eastAsia" w:ascii="仿宋" w:eastAsia="仿宋" w:hAnsiTheme="minorEastAsia" w:cstheme="minorEastAsia"/>
          <w:sz w:val="24"/>
        </w:rPr>
        <w:t>学校</w:t>
      </w:r>
      <w:r>
        <w:rPr>
          <w:rFonts w:hint="eastAsia" w:ascii="仿宋" w:eastAsia="仿宋" w:hAnsiTheme="minorEastAsia" w:cstheme="minorEastAsia"/>
          <w:sz w:val="24"/>
          <w:lang w:val="zh-TW"/>
        </w:rPr>
        <w:t>代表1名，家长代表</w:t>
      </w:r>
      <w:r>
        <w:rPr>
          <w:rFonts w:hint="eastAsia" w:ascii="仿宋" w:eastAsia="仿宋" w:hAnsiTheme="minorEastAsia" w:cstheme="minorEastAsia"/>
          <w:sz w:val="24"/>
        </w:rPr>
        <w:t>1</w:t>
      </w:r>
      <w:r>
        <w:rPr>
          <w:rFonts w:hint="eastAsia" w:ascii="仿宋" w:eastAsia="仿宋" w:hAnsiTheme="minorEastAsia" w:cstheme="minorEastAsia"/>
          <w:sz w:val="24"/>
          <w:lang w:val="zh-TW"/>
        </w:rPr>
        <w:t>人，技术、经济专家（</w:t>
      </w:r>
      <w:r>
        <w:rPr>
          <w:rFonts w:hint="eastAsia" w:ascii="仿宋" w:eastAsia="仿宋" w:hAnsiTheme="minorEastAsia" w:cstheme="minorEastAsia"/>
          <w:sz w:val="24"/>
        </w:rPr>
        <w:t>本地区专家库或省级采购评标专家库中随机抽取</w:t>
      </w:r>
      <w:r>
        <w:rPr>
          <w:rFonts w:hint="eastAsia" w:ascii="仿宋" w:eastAsia="仿宋" w:hAnsiTheme="minorEastAsia" w:cstheme="minorEastAsia"/>
          <w:sz w:val="24"/>
          <w:lang w:val="zh-TW"/>
        </w:rPr>
        <w:t>）</w:t>
      </w:r>
      <w:r>
        <w:rPr>
          <w:rFonts w:hint="eastAsia" w:ascii="仿宋" w:eastAsia="仿宋" w:hAnsiTheme="minorEastAsia" w:cstheme="minorEastAsia"/>
          <w:sz w:val="24"/>
        </w:rPr>
        <w:t>5</w:t>
      </w:r>
      <w:r>
        <w:rPr>
          <w:rFonts w:hint="eastAsia" w:ascii="仿宋" w:eastAsia="仿宋" w:hAnsiTheme="minorEastAsia" w:cstheme="minorEastAsia"/>
          <w:sz w:val="24"/>
          <w:lang w:val="zh-TW"/>
        </w:rPr>
        <w:t>人。</w:t>
      </w:r>
    </w:p>
    <w:p w14:paraId="0B76A530">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4.中标公示：学校对中标企业名称、校服款式及质量标准、中标价格、服务年限、售后服务等信息进行公示，公告期限5个工作日。</w:t>
      </w:r>
    </w:p>
    <w:p w14:paraId="61ABCB92">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5.样衣送检、合同签订：</w:t>
      </w:r>
      <w:r>
        <w:rPr>
          <w:rFonts w:ascii="仿宋" w:eastAsia="仿宋" w:hAnsiTheme="minorEastAsia" w:cstheme="minorEastAsia"/>
          <w:sz w:val="24"/>
        </w:rPr>
        <w:t>在校服选用组织的监督下，</w:t>
      </w:r>
      <w:r>
        <w:rPr>
          <w:rFonts w:hint="eastAsia" w:ascii="仿宋" w:eastAsia="仿宋" w:hAnsiTheme="minorEastAsia" w:cstheme="minorEastAsia"/>
          <w:sz w:val="24"/>
        </w:rPr>
        <w:t>拟中标供应商</w:t>
      </w:r>
      <w:r>
        <w:rPr>
          <w:rFonts w:ascii="仿宋" w:eastAsia="仿宋" w:hAnsiTheme="minorEastAsia" w:cstheme="minorEastAsia"/>
          <w:sz w:val="24"/>
        </w:rPr>
        <w:t>将</w:t>
      </w:r>
      <w:r>
        <w:rPr>
          <w:rFonts w:hint="eastAsia" w:ascii="仿宋" w:eastAsia="仿宋" w:hAnsiTheme="minorEastAsia" w:cstheme="minorEastAsia"/>
          <w:sz w:val="24"/>
        </w:rPr>
        <w:t>投标校服样衣（一套封存送检、一套封存留样）</w:t>
      </w:r>
      <w:r>
        <w:rPr>
          <w:rFonts w:ascii="仿宋" w:eastAsia="仿宋" w:hAnsiTheme="minorEastAsia" w:cstheme="minorEastAsia"/>
          <w:sz w:val="24"/>
        </w:rPr>
        <w:t>送有资质的检测机构进行送检</w:t>
      </w:r>
      <w:r>
        <w:rPr>
          <w:rFonts w:hint="eastAsia" w:ascii="仿宋" w:eastAsia="仿宋" w:hAnsiTheme="minorEastAsia" w:cstheme="minorEastAsia"/>
          <w:sz w:val="24"/>
        </w:rPr>
        <w:t>。取得合格报告且公示无异议后方可签订合同。该检测费用由中标供应商支付</w:t>
      </w:r>
      <w:r>
        <w:rPr>
          <w:rFonts w:ascii="仿宋" w:eastAsia="仿宋" w:hAnsiTheme="minorEastAsia" w:cstheme="minorEastAsia"/>
          <w:sz w:val="24"/>
        </w:rPr>
        <w:t>。</w:t>
      </w:r>
      <w:r>
        <w:rPr>
          <w:rFonts w:hint="eastAsia" w:ascii="仿宋" w:eastAsia="仿宋" w:hAnsiTheme="minorEastAsia" w:cstheme="minorEastAsia"/>
          <w:sz w:val="24"/>
        </w:rPr>
        <w:t>合同应明确校服价格、质量标准、交货时间、售后服务条款及违约责任。</w:t>
      </w:r>
    </w:p>
    <w:p w14:paraId="16AD9588">
      <w:pPr>
        <w:ind w:firstLine="482"/>
        <w:jc w:val="left"/>
        <w:rPr>
          <w:rFonts w:hint="eastAsia" w:ascii="仿宋" w:eastAsia="仿宋" w:hAnsiTheme="minorEastAsia" w:cstheme="minorEastAsia"/>
          <w:b/>
          <w:bCs/>
          <w:sz w:val="24"/>
        </w:rPr>
      </w:pPr>
      <w:r>
        <w:rPr>
          <w:rFonts w:hint="eastAsia" w:ascii="仿宋" w:eastAsia="仿宋" w:hAnsiTheme="minorEastAsia" w:cstheme="minorEastAsia"/>
          <w:b/>
          <w:bCs/>
          <w:sz w:val="24"/>
        </w:rPr>
        <w:t>注：样衣检测不合格及递补：样衣检测报告不符合相关技术参数或者安全要求，则认为所送产品不合格，将将取消拟中标供应商中标资格。学校将选择同标段综合得分排名在其的后一名的中标候选供应商递补并重新送检。</w:t>
      </w:r>
    </w:p>
    <w:p w14:paraId="1C4E2EB1">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6.一次送检：中标人在生产前，除提供面料供应商出具的“第三方检验报告”及“相关采购凭证”以外，还应将本批次生产校服的面、辅料样品交由省、直辖市及以上“由技术监督部门依法授权的服装质检部门”进行检验（当面料批次及成份发生变化时也需进行检测），必须符合招标文件及国家相关标准后方可批量生产，该料样及《检测报告》原件由招标采购方存档。该检测费用由中标供应商支付</w:t>
      </w:r>
      <w:r>
        <w:rPr>
          <w:rFonts w:ascii="仿宋" w:eastAsia="仿宋" w:hAnsiTheme="minorEastAsia" w:cstheme="minorEastAsia"/>
          <w:sz w:val="24"/>
        </w:rPr>
        <w:t>。</w:t>
      </w:r>
    </w:p>
    <w:p w14:paraId="7E61FD2F">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7.二次送检：</w:t>
      </w:r>
      <w:r>
        <w:rPr>
          <w:rFonts w:ascii="仿宋" w:eastAsia="仿宋" w:hAnsiTheme="minorEastAsia" w:cstheme="minorEastAsia"/>
          <w:sz w:val="24"/>
        </w:rPr>
        <w:t>学校</w:t>
      </w:r>
      <w:r>
        <w:rPr>
          <w:rFonts w:hint="eastAsia" w:ascii="仿宋" w:eastAsia="仿宋" w:hAnsiTheme="minorEastAsia" w:cstheme="minorEastAsia"/>
          <w:sz w:val="24"/>
        </w:rPr>
        <w:t>从供应商交付的校服大货中每款校服随机挑选一件按规范质量要求</w:t>
      </w:r>
      <w:r>
        <w:rPr>
          <w:rFonts w:ascii="仿宋" w:eastAsia="仿宋" w:hAnsiTheme="minorEastAsia" w:cstheme="minorEastAsia"/>
          <w:sz w:val="24"/>
        </w:rPr>
        <w:t>二次送检</w:t>
      </w:r>
      <w:r>
        <w:rPr>
          <w:rFonts w:hint="eastAsia" w:ascii="仿宋" w:eastAsia="仿宋" w:hAnsiTheme="minorEastAsia" w:cstheme="minorEastAsia"/>
          <w:sz w:val="24"/>
        </w:rPr>
        <w:t>、两件留样（其中一件备查），</w:t>
      </w:r>
      <w:r>
        <w:rPr>
          <w:rFonts w:ascii="仿宋" w:eastAsia="仿宋" w:hAnsiTheme="minorEastAsia" w:cstheme="minorEastAsia"/>
          <w:sz w:val="24"/>
        </w:rPr>
        <w:t>抽样</w:t>
      </w:r>
      <w:r>
        <w:rPr>
          <w:rFonts w:hint="eastAsia" w:ascii="仿宋" w:eastAsia="仿宋" w:hAnsiTheme="minorEastAsia" w:cstheme="minorEastAsia"/>
          <w:sz w:val="24"/>
        </w:rPr>
        <w:t>过程须有校服选用组织参与且家长代表不得少于三人，并</w:t>
      </w:r>
      <w:r>
        <w:rPr>
          <w:rFonts w:ascii="仿宋" w:eastAsia="仿宋" w:hAnsiTheme="minorEastAsia" w:cstheme="minorEastAsia"/>
          <w:sz w:val="24"/>
        </w:rPr>
        <w:t>及时向学生</w:t>
      </w:r>
      <w:r>
        <w:rPr>
          <w:rFonts w:hint="eastAsia" w:ascii="仿宋" w:eastAsia="仿宋" w:hAnsiTheme="minorEastAsia" w:cstheme="minorEastAsia"/>
          <w:sz w:val="24"/>
        </w:rPr>
        <w:t>（</w:t>
      </w:r>
      <w:r>
        <w:rPr>
          <w:rFonts w:ascii="仿宋" w:eastAsia="仿宋" w:hAnsiTheme="minorEastAsia" w:cstheme="minorEastAsia"/>
          <w:sz w:val="24"/>
        </w:rPr>
        <w:t>家长</w:t>
      </w:r>
      <w:r>
        <w:rPr>
          <w:rFonts w:hint="eastAsia" w:ascii="仿宋" w:eastAsia="仿宋" w:hAnsiTheme="minorEastAsia" w:cstheme="minorEastAsia"/>
          <w:sz w:val="24"/>
        </w:rPr>
        <w:t>）</w:t>
      </w:r>
      <w:r>
        <w:rPr>
          <w:rFonts w:ascii="仿宋" w:eastAsia="仿宋" w:hAnsiTheme="minorEastAsia" w:cstheme="minorEastAsia"/>
          <w:sz w:val="24"/>
        </w:rPr>
        <w:t>公示检测结果</w:t>
      </w:r>
      <w:r>
        <w:rPr>
          <w:rFonts w:hint="eastAsia" w:ascii="仿宋" w:eastAsia="仿宋" w:hAnsiTheme="minorEastAsia" w:cstheme="minorEastAsia"/>
          <w:sz w:val="24"/>
        </w:rPr>
        <w:t>。该检测费用由学校承担，</w:t>
      </w:r>
    </w:p>
    <w:p w14:paraId="103AFFD2">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8.生产交付：供应商按照合同约定组织生产，在2026年10月15日前完成全部校服的生产与交付工作。</w:t>
      </w:r>
    </w:p>
    <w:p w14:paraId="4274C5A0">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9.验收发放：学校验收工作组（学校代表2人，家长代表3人）完成校服验收，验收合格后，按班级发放给学生。</w:t>
      </w:r>
    </w:p>
    <w:p w14:paraId="14CE56A8">
      <w:pPr>
        <w:spacing w:before="200" w:after="100"/>
        <w:jc w:val="left"/>
        <w:outlineLvl w:val="1"/>
        <w:rPr>
          <w:rFonts w:hint="eastAsia" w:ascii="楷体" w:eastAsia="楷体" w:hAnsiTheme="minorEastAsia" w:cstheme="minorEastAsia"/>
          <w:sz w:val="32"/>
        </w:rPr>
      </w:pPr>
      <w:r>
        <w:rPr>
          <w:rFonts w:hint="eastAsia" w:ascii="楷体" w:eastAsia="楷体" w:hAnsiTheme="minorEastAsia" w:cstheme="minorEastAsia"/>
          <w:sz w:val="32"/>
        </w:rPr>
        <w:t>（二）关键时间节点</w:t>
      </w:r>
    </w:p>
    <w:p w14:paraId="4ADF221A">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1.前期准备：2026年8月2日前完成前期准备工作，包括完成校服选用组织会议、征求选购年级家长意见、选款、家委会决议、家委会委托、选定校服款式与定价等；</w:t>
      </w:r>
    </w:p>
    <w:p w14:paraId="6D2C2CB0">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2.</w:t>
      </w:r>
      <w:r>
        <w:rPr>
          <w:rFonts w:hint="eastAsia" w:ascii="仿宋_GB2312" w:hAnsi="仿宋_GB2312" w:eastAsia="仿宋_GB2312" w:cs="仿宋_GB2312"/>
          <w:sz w:val="24"/>
        </w:rPr>
        <w:t>中介超市选招标代理</w:t>
      </w:r>
      <w:r>
        <w:rPr>
          <w:rFonts w:hint="eastAsia" w:ascii="仿宋" w:eastAsia="仿宋" w:hAnsiTheme="minorEastAsia" w:cstheme="minorEastAsia"/>
          <w:sz w:val="24"/>
        </w:rPr>
        <w:t>：2026年8月6前；</w:t>
      </w:r>
    </w:p>
    <w:p w14:paraId="52BB55B2">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3.“三重一大”</w:t>
      </w:r>
      <w:r>
        <w:rPr>
          <w:rFonts w:hint="eastAsia" w:ascii="仿宋_GB2312" w:hAnsi="仿宋_GB2312" w:eastAsia="仿宋_GB2312" w:cs="仿宋_GB2312"/>
          <w:sz w:val="24"/>
        </w:rPr>
        <w:t>会议</w:t>
      </w:r>
      <w:r>
        <w:rPr>
          <w:rFonts w:hint="eastAsia" w:ascii="仿宋" w:eastAsia="仿宋" w:hAnsiTheme="minorEastAsia" w:cstheme="minorEastAsia"/>
          <w:sz w:val="24"/>
        </w:rPr>
        <w:t>、</w:t>
      </w:r>
      <w:r>
        <w:rPr>
          <w:rFonts w:hint="eastAsia" w:ascii="仿宋_GB2312" w:hAnsi="仿宋_GB2312" w:eastAsia="仿宋_GB2312" w:cs="仿宋_GB2312"/>
          <w:sz w:val="24"/>
        </w:rPr>
        <w:t>选购工作方案、</w:t>
      </w:r>
      <w:r>
        <w:rPr>
          <w:rFonts w:hint="eastAsia" w:ascii="仿宋" w:eastAsia="仿宋" w:hAnsiTheme="minorEastAsia" w:cstheme="minorEastAsia"/>
          <w:sz w:val="24"/>
        </w:rPr>
        <w:t>招标文件制定：2026年8月6日前；</w:t>
      </w:r>
    </w:p>
    <w:p w14:paraId="77D36DF2">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4.采购方案备案审核：2026年8月10日前将方案交给主管部门审核；</w:t>
      </w:r>
    </w:p>
    <w:p w14:paraId="052DC66B">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4.招标公告发布：2026年8月11日前；</w:t>
      </w:r>
    </w:p>
    <w:p w14:paraId="4821A0C1">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5.供应商投标截止日：2026年9月3日前（同开标日）；</w:t>
      </w:r>
    </w:p>
    <w:p w14:paraId="4D20FA8F">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6.样品提交日：2026年9月3日前（供应商需准备好各款式校服样品</w:t>
      </w:r>
      <w:r>
        <w:rPr>
          <w:rFonts w:hint="eastAsia" w:ascii="仿宋" w:eastAsia="仿宋" w:hAnsiTheme="minorEastAsia" w:cstheme="minorEastAsia"/>
          <w:b/>
          <w:bCs/>
          <w:sz w:val="24"/>
        </w:rPr>
        <w:t>2套</w:t>
      </w:r>
      <w:r>
        <w:rPr>
          <w:rFonts w:hint="eastAsia" w:ascii="仿宋" w:eastAsia="仿宋" w:hAnsiTheme="minorEastAsia" w:cstheme="minorEastAsia"/>
          <w:sz w:val="24"/>
        </w:rPr>
        <w:t>供评审）；</w:t>
      </w:r>
    </w:p>
    <w:p w14:paraId="05390FC0">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7.开标与评审日：2026年9月3日前；</w:t>
      </w:r>
    </w:p>
    <w:p w14:paraId="791DFD62">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8.合同签订日（企业将样衣送有资质的检测机构进行送检（取得合格报告且中标公示无异议后方可签订合同）：2026年9月9日前；</w:t>
      </w:r>
    </w:p>
    <w:p w14:paraId="0E8E8121">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9.最终交货日：2026年10月15日前；</w:t>
      </w:r>
    </w:p>
    <w:p w14:paraId="0BFC9174">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10.</w:t>
      </w:r>
      <w:r>
        <w:rPr>
          <w:rFonts w:hint="eastAsia" w:ascii="仿宋_GB2312" w:hAnsi="仿宋_GB2312" w:eastAsia="仿宋_GB2312" w:cs="仿宋_GB2312"/>
          <w:sz w:val="24"/>
        </w:rPr>
        <w:t>学校验收、学校二次检测</w:t>
      </w:r>
      <w:r>
        <w:rPr>
          <w:rFonts w:hint="eastAsia" w:ascii="仿宋" w:eastAsia="仿宋" w:hAnsiTheme="minorEastAsia" w:cstheme="minorEastAsia"/>
          <w:sz w:val="24"/>
        </w:rPr>
        <w:t>：2026年10月20日前；</w:t>
      </w:r>
    </w:p>
    <w:p w14:paraId="7364C709">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11.校服发放。</w:t>
      </w:r>
    </w:p>
    <w:p w14:paraId="7C349170">
      <w:pPr>
        <w:spacing w:before="200" w:after="100"/>
        <w:jc w:val="left"/>
        <w:outlineLvl w:val="0"/>
        <w:rPr>
          <w:rFonts w:hint="eastAsia" w:ascii="黑体" w:hAnsi="宋体" w:eastAsia="黑体" w:cs="宋体"/>
          <w:sz w:val="30"/>
          <w:szCs w:val="30"/>
        </w:rPr>
      </w:pPr>
      <w:r>
        <w:rPr>
          <w:rFonts w:hint="eastAsia" w:ascii="黑体" w:hAnsi="宋体" w:eastAsia="黑体" w:cs="宋体"/>
          <w:sz w:val="30"/>
          <w:szCs w:val="30"/>
        </w:rPr>
        <w:t>六、质量监督与验收</w:t>
      </w:r>
    </w:p>
    <w:p w14:paraId="07BC688E">
      <w:pPr>
        <w:spacing w:before="200" w:after="100"/>
        <w:jc w:val="left"/>
        <w:outlineLvl w:val="1"/>
        <w:rPr>
          <w:rFonts w:hint="eastAsia" w:ascii="楷体" w:eastAsia="楷体" w:hAnsiTheme="minorEastAsia" w:cstheme="minorEastAsia"/>
          <w:sz w:val="32"/>
        </w:rPr>
      </w:pPr>
      <w:r>
        <w:rPr>
          <w:rFonts w:hint="eastAsia" w:ascii="楷体" w:eastAsia="楷体" w:hAnsiTheme="minorEastAsia" w:cstheme="minorEastAsia"/>
          <w:sz w:val="32"/>
        </w:rPr>
        <w:t>（一）检测标准</w:t>
      </w:r>
    </w:p>
    <w:p w14:paraId="6203D498">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委托具备法定资质的第三方质检机构对校服进行检测，检测项目包括但不限于平方米重量（仅检测“面料及预算”中“面料要求”栏有要求的）、甲醛含量、PH值、可分解致癌芳香胺染料、耐水色牢度、耐酸汗渍色牢度、耐碱汗渍色牢度、耐干摩擦色牢度、耐湿摩擦色牢度、纤维含量、接缝强力、耐光色牢度、耐光汗复合色牢度、耐皂洗色牢度、起球、绳带要求、金属残留针、接缝强力等关键指标。校方在得到合格的检测报告，且平方米重量等符合招标文件，</w:t>
      </w:r>
      <w:r>
        <w:rPr>
          <w:rFonts w:ascii="仿宋" w:eastAsia="仿宋" w:hAnsiTheme="minorEastAsia" w:cstheme="minorEastAsia"/>
          <w:sz w:val="24"/>
        </w:rPr>
        <w:t>方能将校服发放给学生</w:t>
      </w:r>
      <w:r>
        <w:rPr>
          <w:rFonts w:hint="eastAsia" w:ascii="仿宋" w:eastAsia="仿宋" w:hAnsiTheme="minorEastAsia" w:cstheme="minorEastAsia"/>
          <w:sz w:val="24"/>
        </w:rPr>
        <w:t>。检测报告将在学校官网、公告栏等进行公示，接受家长与社会监督</w:t>
      </w:r>
      <w:r>
        <w:rPr>
          <w:rFonts w:hint="eastAsia" w:ascii="仿宋" w:eastAsia="仿宋" w:hAnsiTheme="minorEastAsia" w:cstheme="minorEastAsia"/>
          <w:color w:val="000000" w:themeColor="text1"/>
          <w:sz w:val="24"/>
          <w14:textFill>
            <w14:solidFill>
              <w14:schemeClr w14:val="tx1"/>
            </w14:solidFill>
          </w14:textFill>
        </w:rPr>
        <w:t>。</w:t>
      </w:r>
    </w:p>
    <w:p w14:paraId="47FFB039">
      <w:pPr>
        <w:spacing w:before="200" w:after="100"/>
        <w:jc w:val="left"/>
        <w:outlineLvl w:val="1"/>
        <w:rPr>
          <w:rFonts w:hint="eastAsia" w:ascii="楷体" w:eastAsia="楷体" w:hAnsiTheme="minorEastAsia" w:cstheme="minorEastAsia"/>
          <w:sz w:val="32"/>
        </w:rPr>
      </w:pPr>
      <w:r>
        <w:rPr>
          <w:rFonts w:hint="eastAsia" w:ascii="楷体" w:eastAsia="楷体" w:hAnsiTheme="minorEastAsia" w:cstheme="minorEastAsia"/>
          <w:sz w:val="32"/>
        </w:rPr>
        <w:t>（二）验收流程</w:t>
      </w:r>
    </w:p>
    <w:p w14:paraId="37184EDA">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（1）校服初验：供应商交付大货时，须同时携带本批次中标供应商出具的校服的面、辅料“第三方检验报告”及面、辅料购买凭证，由甲方组织校服验收工作组（学校代表2人，家长代表3人）初验，</w:t>
      </w:r>
      <w:r>
        <w:rPr>
          <w:rFonts w:ascii="仿宋" w:eastAsia="仿宋" w:hAnsiTheme="minorEastAsia" w:cstheme="minorEastAsia"/>
          <w:sz w:val="24"/>
        </w:rPr>
        <w:t>验收内容（验收要点）</w:t>
      </w:r>
      <w:r>
        <w:rPr>
          <w:rFonts w:hint="eastAsia" w:ascii="仿宋" w:eastAsia="仿宋" w:hAnsiTheme="minorEastAsia" w:cstheme="minorEastAsia"/>
          <w:sz w:val="24"/>
        </w:rPr>
        <w:t>至少包含：</w:t>
      </w:r>
      <w:r>
        <w:rPr>
          <w:rFonts w:ascii="仿宋" w:eastAsia="仿宋" w:hAnsiTheme="minorEastAsia" w:cstheme="minorEastAsia"/>
          <w:sz w:val="24"/>
        </w:rPr>
        <w:t>清单与合同一致（品牌、号型、数量）</w:t>
      </w:r>
      <w:r>
        <w:rPr>
          <w:rFonts w:hint="eastAsia" w:ascii="仿宋" w:eastAsia="仿宋" w:hAnsiTheme="minorEastAsia" w:cstheme="minorEastAsia"/>
          <w:sz w:val="24"/>
        </w:rPr>
        <w:t>、</w:t>
      </w:r>
      <w:r>
        <w:rPr>
          <w:rFonts w:ascii="仿宋" w:eastAsia="仿宋" w:hAnsiTheme="minorEastAsia" w:cstheme="minorEastAsia"/>
          <w:sz w:val="24"/>
        </w:rPr>
        <w:t>外观无问题（绳带、拉链、气味）</w:t>
      </w:r>
      <w:r>
        <w:rPr>
          <w:rFonts w:hint="eastAsia" w:ascii="仿宋" w:eastAsia="仿宋" w:hAnsiTheme="minorEastAsia" w:cstheme="minorEastAsia"/>
          <w:sz w:val="24"/>
        </w:rPr>
        <w:t>、</w:t>
      </w:r>
      <w:r>
        <w:rPr>
          <w:rFonts w:ascii="仿宋" w:eastAsia="仿宋" w:hAnsiTheme="minorEastAsia" w:cstheme="minorEastAsia"/>
          <w:sz w:val="24"/>
        </w:rPr>
        <w:t>标识完整（吊牌、水洗标内容）</w:t>
      </w:r>
      <w:r>
        <w:rPr>
          <w:rFonts w:hint="eastAsia" w:ascii="仿宋" w:eastAsia="仿宋" w:hAnsiTheme="minorEastAsia" w:cstheme="minorEastAsia"/>
          <w:sz w:val="24"/>
        </w:rPr>
        <w:t>、</w:t>
      </w:r>
      <w:r>
        <w:rPr>
          <w:rFonts w:ascii="仿宋" w:eastAsia="仿宋" w:hAnsiTheme="minorEastAsia" w:cstheme="minorEastAsia"/>
          <w:sz w:val="24"/>
        </w:rPr>
        <w:t>检测报告符合（原件、项目完整性、检测时间）</w:t>
      </w:r>
      <w:r>
        <w:rPr>
          <w:rFonts w:hint="eastAsia" w:ascii="仿宋" w:eastAsia="仿宋" w:hAnsiTheme="minorEastAsia" w:cstheme="minorEastAsia"/>
          <w:sz w:val="24"/>
        </w:rPr>
        <w:t>、面、辅料购买凭证、</w:t>
      </w:r>
      <w:r>
        <w:rPr>
          <w:rFonts w:ascii="仿宋" w:eastAsia="仿宋" w:hAnsiTheme="minorEastAsia" w:cstheme="minorEastAsia"/>
          <w:sz w:val="24"/>
        </w:rPr>
        <w:t>面料成分</w:t>
      </w:r>
      <w:r>
        <w:rPr>
          <w:rFonts w:hint="eastAsia" w:ascii="仿宋" w:eastAsia="仿宋" w:hAnsiTheme="minorEastAsia" w:cstheme="minorEastAsia"/>
          <w:sz w:val="24"/>
        </w:rPr>
        <w:t>符合</w:t>
      </w:r>
      <w:r>
        <w:rPr>
          <w:rFonts w:ascii="仿宋" w:eastAsia="仿宋" w:hAnsiTheme="minorEastAsia" w:cstheme="minorEastAsia"/>
          <w:sz w:val="24"/>
        </w:rPr>
        <w:t>（招标文件、标识、检测报告）</w:t>
      </w:r>
      <w:r>
        <w:rPr>
          <w:rFonts w:hint="eastAsia" w:ascii="仿宋" w:eastAsia="仿宋" w:hAnsiTheme="minorEastAsia" w:cstheme="minorEastAsia"/>
          <w:sz w:val="24"/>
        </w:rPr>
        <w:t>、</w:t>
      </w:r>
      <w:r>
        <w:rPr>
          <w:rFonts w:ascii="仿宋" w:eastAsia="仿宋" w:hAnsiTheme="minorEastAsia" w:cstheme="minorEastAsia"/>
          <w:sz w:val="24"/>
        </w:rPr>
        <w:t>备货充足（</w:t>
      </w:r>
      <w:r>
        <w:rPr>
          <w:rFonts w:hint="eastAsia" w:ascii="仿宋" w:eastAsia="仿宋" w:hAnsiTheme="minorEastAsia" w:cstheme="minorEastAsia"/>
          <w:sz w:val="24"/>
        </w:rPr>
        <w:t>1</w:t>
      </w:r>
      <w:r>
        <w:rPr>
          <w:rFonts w:ascii="仿宋" w:eastAsia="仿宋" w:hAnsiTheme="minorEastAsia" w:cstheme="minorEastAsia"/>
          <w:sz w:val="24"/>
        </w:rPr>
        <w:t>0%以上的备货供调换、增补）</w:t>
      </w:r>
      <w:r>
        <w:rPr>
          <w:rFonts w:hint="eastAsia" w:ascii="仿宋" w:eastAsia="仿宋" w:hAnsiTheme="minorEastAsia" w:cstheme="minorEastAsia"/>
          <w:sz w:val="24"/>
        </w:rPr>
        <w:t>、</w:t>
      </w:r>
      <w:r>
        <w:rPr>
          <w:rFonts w:ascii="仿宋" w:eastAsia="仿宋" w:hAnsiTheme="minorEastAsia" w:cstheme="minorEastAsia"/>
          <w:sz w:val="24"/>
        </w:rPr>
        <w:t>入库时间</w:t>
      </w:r>
      <w:r>
        <w:rPr>
          <w:rFonts w:hint="eastAsia" w:ascii="仿宋" w:eastAsia="仿宋" w:hAnsiTheme="minorEastAsia" w:cstheme="minorEastAsia"/>
          <w:sz w:val="24"/>
        </w:rPr>
        <w:t>等，并由初验人员签字确认。</w:t>
      </w:r>
    </w:p>
    <w:p w14:paraId="3A95DA5C">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2）二次抽样送检：初验合格后，在校服发放前，甲方验收工作组从供应商交付的校服大货中随机抽取封存，并于封条上签字盖学校公章，送交由省、直辖市及以上“技术监督部门依法授权的服装质检部门”进行二次检验，检测费用由学校承担，现场拍照留存于履约验收书，并签字确认。</w:t>
      </w:r>
    </w:p>
    <w:p w14:paraId="21E6DB1C">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（3）学生试穿反馈：组织高一年级部分学生试穿校服，收集学生及家长关于尺码适配性、穿着舒适度、面料手感等方面的反馈意见。</w:t>
      </w:r>
    </w:p>
    <w:p w14:paraId="307072ED">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（4）学校终验：学校在收到二次送检检测报告及试穿反馈意见后，对本次校服采购做最终验收，验收工作组（学校代表</w:t>
      </w:r>
      <w:r>
        <w:rPr>
          <w:rFonts w:ascii="仿宋" w:eastAsia="仿宋" w:hAnsiTheme="minorEastAsia" w:cstheme="minorEastAsia"/>
          <w:sz w:val="24"/>
        </w:rPr>
        <w:t>2</w:t>
      </w:r>
      <w:r>
        <w:rPr>
          <w:rFonts w:hint="eastAsia" w:ascii="仿宋" w:eastAsia="仿宋" w:hAnsiTheme="minorEastAsia" w:cstheme="minorEastAsia"/>
          <w:sz w:val="24"/>
        </w:rPr>
        <w:t>人，家长代表3人）召开验收会议，形成验收结论。验收内容包含学校送检报告时间、参数符合（招标文件、企业送检、学校送检报告）、指标合格（安全、性能指标），验收合格的，签署验收合格文件。</w:t>
      </w:r>
    </w:p>
    <w:p w14:paraId="64F5B8F3">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（5）留样封存：每批次产品每款校服要随机抽取不少于2件留样，并封存一年，以备待检。</w:t>
      </w:r>
    </w:p>
    <w:p w14:paraId="41C52DBA">
      <w:pPr>
        <w:ind w:firstLine="482"/>
        <w:jc w:val="left"/>
        <w:rPr>
          <w:rFonts w:hint="eastAsia" w:ascii="仿宋" w:eastAsia="仿宋" w:hAnsiTheme="minorEastAsia" w:cstheme="minorEastAsia"/>
          <w:b/>
          <w:bCs/>
          <w:sz w:val="24"/>
        </w:rPr>
      </w:pPr>
      <w:r>
        <w:rPr>
          <w:rFonts w:hint="eastAsia" w:ascii="仿宋" w:eastAsia="仿宋" w:hAnsiTheme="minorEastAsia" w:cstheme="minorEastAsia"/>
          <w:b/>
          <w:bCs/>
          <w:sz w:val="24"/>
        </w:rPr>
        <w:t>（6）验收不合格：</w:t>
      </w:r>
    </w:p>
    <w:p w14:paraId="4477FE2E">
      <w:pPr>
        <w:ind w:firstLine="482"/>
        <w:jc w:val="left"/>
        <w:rPr>
          <w:rFonts w:hint="eastAsia" w:ascii="仿宋" w:eastAsia="仿宋" w:hAnsiTheme="minorEastAsia" w:cstheme="minorEastAsia"/>
          <w:b/>
          <w:bCs/>
          <w:sz w:val="24"/>
        </w:rPr>
      </w:pPr>
      <w:r>
        <w:rPr>
          <w:rFonts w:hint="eastAsia" w:ascii="仿宋" w:eastAsia="仿宋" w:hAnsiTheme="minorEastAsia" w:cstheme="minorEastAsia"/>
          <w:b/>
          <w:bCs/>
          <w:sz w:val="24"/>
        </w:rPr>
        <w:t>学校按照前述验收过程进行验收。如初验，产品不符合验收要点要求，则认为所送产品不合格，将全部退货，重新生产；如终验，产品不符合相关技术参数或者安全要求，则认为所送产品不合格，乙方书面形式提出复检，经学校及校服选用组织同意后，委托省级以上检验机构复检，检测费用由乙方承担。甲、乙双方需服从复检结论，若仍有项目不合格的，乙方将被取消中标资格，学校有权直接解除合同、退回所有校服，并上报区教育局列入校服供应“黑名单”，五年内不得参与我校校服采购。学校将重新组织招标。</w:t>
      </w:r>
    </w:p>
    <w:p w14:paraId="4A5EFABC">
      <w:pPr>
        <w:spacing w:before="200" w:after="100"/>
        <w:jc w:val="left"/>
        <w:outlineLvl w:val="1"/>
        <w:rPr>
          <w:rFonts w:hint="eastAsia" w:ascii="楷体" w:eastAsia="楷体" w:hAnsiTheme="minorEastAsia" w:cstheme="minorEastAsia"/>
          <w:sz w:val="32"/>
        </w:rPr>
      </w:pPr>
      <w:r>
        <w:rPr>
          <w:rFonts w:hint="eastAsia" w:ascii="楷体" w:eastAsia="楷体" w:hAnsiTheme="minorEastAsia" w:cstheme="minorEastAsia"/>
          <w:sz w:val="32"/>
        </w:rPr>
        <w:t>（三）费用管理与支付方式</w:t>
      </w:r>
    </w:p>
    <w:p w14:paraId="38C5D7D6">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1.费用支付：校服费用由家长承担。学校按照本级财政要求的方式进行代收代付，专款专用，不得挪用、截留。付款为一次性付款，在校服验收合格并全部发放完成后，学校向供应商支付全部采购款项。</w:t>
      </w:r>
    </w:p>
    <w:p w14:paraId="18F608E8">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2.二次检测：费用由学校经费构成。</w:t>
      </w:r>
    </w:p>
    <w:p w14:paraId="31C06FCB">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3.价格透明：中标价格即为最终零售价，一价到底，并向全体家长公示。</w:t>
      </w:r>
    </w:p>
    <w:p w14:paraId="3E8D8B79">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4.贫困补助：设立校服专项补助基金，对家庭经济困难的学生（凭有效证明）提供全额或部分补贴，基金由学校经费或社会捐助构成。</w:t>
      </w:r>
    </w:p>
    <w:p w14:paraId="572C7ACC">
      <w:pPr>
        <w:spacing w:before="200" w:after="100"/>
        <w:jc w:val="left"/>
        <w:outlineLvl w:val="0"/>
        <w:rPr>
          <w:rFonts w:hint="eastAsia" w:ascii="黑体" w:hAnsi="宋体" w:eastAsia="黑体" w:cs="宋体"/>
          <w:sz w:val="30"/>
          <w:szCs w:val="30"/>
        </w:rPr>
      </w:pPr>
      <w:r>
        <w:rPr>
          <w:rFonts w:hint="eastAsia" w:ascii="黑体" w:hAnsi="宋体" w:eastAsia="黑体" w:cs="宋体"/>
          <w:sz w:val="30"/>
          <w:szCs w:val="30"/>
        </w:rPr>
        <w:t>七、风险控制与应急预案</w:t>
      </w:r>
    </w:p>
    <w:p w14:paraId="606FB5C8">
      <w:pPr>
        <w:spacing w:before="200" w:after="100"/>
        <w:jc w:val="left"/>
        <w:outlineLvl w:val="1"/>
        <w:rPr>
          <w:rFonts w:hint="eastAsia" w:ascii="楷体" w:hAnsi="宋体" w:eastAsia="楷体" w:cs="宋体"/>
          <w:sz w:val="32"/>
        </w:rPr>
      </w:pPr>
      <w:r>
        <w:rPr>
          <w:rFonts w:hint="eastAsia" w:ascii="楷体" w:hAnsi="宋体" w:eastAsia="楷体" w:cs="宋体"/>
          <w:sz w:val="32"/>
        </w:rPr>
        <w:t>（一）风险点</w:t>
      </w:r>
    </w:p>
    <w:p w14:paraId="389D930C">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1.招标质疑投诉：可能出现供应商对招标流程、评审结果提出质疑或投诉的情况。</w:t>
      </w:r>
    </w:p>
    <w:p w14:paraId="101F0196">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2.供应商延迟交货：受生产进度、物流运输等因素影响，供应商可能无法按时交付校服。</w:t>
      </w:r>
    </w:p>
    <w:p w14:paraId="108CA33F">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3.质量不达标：校服可能存在检测不合格、做工瑕疵、面料不符合要求等质量问题。</w:t>
      </w:r>
    </w:p>
    <w:p w14:paraId="7E5F73DC">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4.家长投诉：家长可能对校服的款式、材质、价格、尺码等方面提出投诉。</w:t>
      </w:r>
    </w:p>
    <w:p w14:paraId="2EECC62B">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5.廉政举报：采购过程中可能出现违规操作、利益输送等廉政风险，引发举报。</w:t>
      </w:r>
    </w:p>
    <w:p w14:paraId="4C7B3437">
      <w:pPr>
        <w:spacing w:before="200" w:after="100"/>
        <w:jc w:val="left"/>
        <w:outlineLvl w:val="1"/>
        <w:rPr>
          <w:rFonts w:hint="eastAsia" w:ascii="楷体" w:hAnsi="宋体" w:eastAsia="楷体" w:cs="宋体"/>
          <w:sz w:val="32"/>
        </w:rPr>
      </w:pPr>
      <w:r>
        <w:rPr>
          <w:rFonts w:hint="eastAsia" w:ascii="楷体" w:hAnsi="宋体" w:eastAsia="楷体" w:cs="宋体"/>
          <w:sz w:val="32"/>
        </w:rPr>
        <w:t xml:space="preserve"> （二）应对措施</w:t>
      </w:r>
    </w:p>
    <w:p w14:paraId="2D8EFE98">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1.针对招标质疑投诉：制定质疑投诉处理流程，安排专人负责接收与答复；招标全过程做好记录，留存相关资料，确保流程可追溯；对合理质疑及时处理，对投诉事项按规定移交相关部门核查。</w:t>
      </w:r>
    </w:p>
    <w:p w14:paraId="61C9D42D">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2.针对供应商延迟交货：在合同中明确延迟交货的违约金条款，供应商每延迟一天交货，按合同总价的10%支付违约金；建立备用供应商名单，若主供应商出现严重延迟交货情况，启动备用供应商采购流程，保障校服按时供应。</w:t>
      </w:r>
    </w:p>
    <w:p w14:paraId="16DD9CB7">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3.针对质量不达标：严格执行验收流程，一旦发现质量问题，立即要求供应商返工或更换；情节严重的，解除合同并追究违约责任；将质量不合格的供应商列入黑名单，禁止其参与学校后续采购项目。</w:t>
      </w:r>
    </w:p>
    <w:p w14:paraId="4ED1CE34">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4.针对家长投诉：畅通监督举报和信息反馈渠道（在学校门口张贴省教育系统专项整治投诉平台二维码及吴江区专项整治投诉电话0512-63421801），及时受理学生、家长和社会各界的咨询和意见反馈，对举报人信息严格保密，明确受理范围和流程，及时梳理群众举报的问题线索并积极妥善处置。</w:t>
      </w:r>
    </w:p>
    <w:p w14:paraId="61E083CB">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5.针对廉政风险：严格执行采购相关法律法规，规范采购流程；成立专项监督小组，全程监督采购过程；实行廉政承诺制，采购工作人员与供应商签订廉政承诺书，杜绝违规操作；对廉政举报线索及时核查，一经查实，严肃追究相关人员责任。</w:t>
      </w:r>
    </w:p>
    <w:p w14:paraId="7D2CF9F4">
      <w:pPr>
        <w:spacing w:before="200" w:after="100"/>
        <w:jc w:val="left"/>
        <w:outlineLvl w:val="0"/>
        <w:rPr>
          <w:rFonts w:hint="eastAsia" w:ascii="黑体" w:hAnsi="宋体" w:eastAsia="黑体" w:cs="宋体"/>
          <w:sz w:val="30"/>
          <w:szCs w:val="30"/>
        </w:rPr>
      </w:pPr>
      <w:r>
        <w:rPr>
          <w:rFonts w:hint="eastAsia" w:ascii="黑体" w:hAnsi="宋体" w:eastAsia="黑体" w:cs="宋体"/>
          <w:sz w:val="30"/>
          <w:szCs w:val="30"/>
        </w:rPr>
        <w:t>八、监督</w:t>
      </w:r>
    </w:p>
    <w:p w14:paraId="417E0578">
      <w:pPr>
        <w:spacing w:before="200" w:after="100"/>
        <w:jc w:val="left"/>
        <w:outlineLvl w:val="1"/>
        <w:rPr>
          <w:rFonts w:hint="eastAsia" w:ascii="楷体" w:hAnsi="宋体" w:eastAsia="楷体" w:cs="宋体"/>
          <w:sz w:val="32"/>
        </w:rPr>
      </w:pPr>
      <w:r>
        <w:rPr>
          <w:rFonts w:hint="eastAsia" w:ascii="楷体" w:hAnsi="宋体" w:eastAsia="楷体" w:cs="宋体"/>
          <w:sz w:val="32"/>
        </w:rPr>
        <w:t>（一）岗位设置规范</w:t>
      </w:r>
    </w:p>
    <w:p w14:paraId="1AA4A1F1">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严格规范不相容岗位设置，采购申请、招标组织、合同签订、付款审核、质量验收等岗位分设，明确各岗位职责，避免一人多岗引发的风险。</w:t>
      </w:r>
    </w:p>
    <w:p w14:paraId="38E549C2">
      <w:pPr>
        <w:spacing w:before="200" w:after="100"/>
        <w:jc w:val="left"/>
        <w:outlineLvl w:val="1"/>
        <w:rPr>
          <w:rFonts w:hint="eastAsia" w:ascii="楷体" w:hAnsi="宋体" w:eastAsia="楷体" w:cs="宋体"/>
          <w:sz w:val="32"/>
        </w:rPr>
      </w:pPr>
      <w:r>
        <w:rPr>
          <w:rFonts w:hint="eastAsia" w:ascii="楷体" w:hAnsi="宋体" w:eastAsia="楷体" w:cs="宋体"/>
          <w:sz w:val="32"/>
        </w:rPr>
        <w:t xml:space="preserve"> （二）专项监督工作组</w:t>
      </w:r>
    </w:p>
    <w:p w14:paraId="4F4B5B96">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成立由校方代表、家长代表（学校全体家委会成员）、财务人员组成的专项监督工作组，全程参与采购方案制定、招标评审、合同签订、质量验收等关键环节，对采购过程进行全面监督。</w:t>
      </w:r>
    </w:p>
    <w:p w14:paraId="1905679B">
      <w:pPr>
        <w:spacing w:before="200" w:after="100"/>
        <w:jc w:val="left"/>
        <w:outlineLvl w:val="1"/>
        <w:rPr>
          <w:rFonts w:hint="eastAsia" w:ascii="楷体" w:hAnsi="宋体" w:eastAsia="楷体" w:cs="宋体"/>
          <w:sz w:val="32"/>
        </w:rPr>
      </w:pPr>
      <w:r>
        <w:rPr>
          <w:rFonts w:hint="eastAsia" w:ascii="楷体" w:hAnsi="宋体" w:eastAsia="楷体" w:cs="宋体"/>
          <w:sz w:val="32"/>
        </w:rPr>
        <w:t xml:space="preserve"> （三）信息公开公示</w:t>
      </w:r>
    </w:p>
    <w:p w14:paraId="7F645E2D">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在学校官网、公告栏及时公示采购相关信息，包括征求家长意见结果、</w:t>
      </w:r>
      <w:r>
        <w:rPr>
          <w:rFonts w:ascii="仿宋" w:eastAsia="仿宋" w:hAnsiTheme="minorEastAsia" w:cstheme="minorEastAsia"/>
          <w:sz w:val="24"/>
        </w:rPr>
        <w:t>“</w:t>
      </w:r>
      <w:r>
        <w:rPr>
          <w:rFonts w:hint="eastAsia" w:ascii="仿宋" w:eastAsia="仿宋" w:hAnsiTheme="minorEastAsia" w:cstheme="minorEastAsia"/>
          <w:sz w:val="24"/>
        </w:rPr>
        <w:t>三重一大</w:t>
      </w:r>
      <w:r>
        <w:rPr>
          <w:rFonts w:ascii="仿宋" w:eastAsia="仿宋" w:hAnsiTheme="minorEastAsia" w:cstheme="minorEastAsia"/>
          <w:sz w:val="24"/>
        </w:rPr>
        <w:t>”</w:t>
      </w:r>
      <w:r>
        <w:rPr>
          <w:rFonts w:hint="eastAsia" w:ascii="仿宋" w:eastAsia="仿宋" w:hAnsiTheme="minorEastAsia" w:cstheme="minorEastAsia"/>
          <w:sz w:val="24"/>
        </w:rPr>
        <w:t>会议决定、校服采购工作方案、校服采购工作组构成情况、选用招标代理机构情况、公开招标信息和文件、招标结果公示、合同签订情况、二次送检结果、校服费用收支情况等，增强采购透明度，接受全体师生、家长及社会的监督。</w:t>
      </w:r>
    </w:p>
    <w:p w14:paraId="487DDF61">
      <w:pPr>
        <w:spacing w:before="200" w:after="100"/>
        <w:jc w:val="left"/>
        <w:outlineLvl w:val="0"/>
        <w:rPr>
          <w:rFonts w:hint="eastAsia" w:ascii="黑体" w:hAnsi="宋体" w:eastAsia="黑体" w:cs="宋体"/>
          <w:sz w:val="30"/>
          <w:szCs w:val="30"/>
        </w:rPr>
      </w:pPr>
      <w:r>
        <w:rPr>
          <w:rFonts w:hint="eastAsia" w:ascii="黑体" w:hAnsi="宋体" w:eastAsia="黑体" w:cs="宋体"/>
          <w:sz w:val="30"/>
          <w:szCs w:val="30"/>
        </w:rPr>
        <w:t>九、其它事项</w:t>
      </w:r>
    </w:p>
    <w:p w14:paraId="1FEF6FF8">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1.本次采购的校服款式著作权归原厂商所有，甲方已取得永久无偿使用授权，可任意遴选供应商生产同款校服。中标乙方仅限合同期内为甲方生产校服使用该款式，不得外传版型图纸、不得私自申请该款式知识产权；售后服务期满后乙方须销毁全部款式资料，禁止复刻使用。乙方擅自传播款式、改动设计引发侵权的，承担全部赔偿责任。</w:t>
      </w:r>
    </w:p>
    <w:p w14:paraId="3FA74DDE">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2.供应商需在生产过程中严格保护学生个人信息，不得泄露学生姓名、班级等相关数据。</w:t>
      </w:r>
    </w:p>
    <w:p w14:paraId="10631026">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3.本方案未尽事宜，由专项工作组协商解决，重大事项报学校领导班子集体研究决定。</w:t>
      </w:r>
    </w:p>
    <w:p w14:paraId="436F34C2">
      <w:pPr>
        <w:spacing w:before="200" w:after="100"/>
        <w:jc w:val="left"/>
        <w:outlineLvl w:val="0"/>
        <w:rPr>
          <w:rFonts w:hint="eastAsia" w:ascii="黑体" w:hAnsi="宋体" w:eastAsia="黑体" w:cs="宋体"/>
          <w:sz w:val="30"/>
          <w:szCs w:val="30"/>
        </w:rPr>
      </w:pPr>
      <w:r>
        <w:rPr>
          <w:rFonts w:hint="eastAsia" w:ascii="黑体" w:hAnsi="宋体" w:eastAsia="黑体" w:cs="宋体"/>
          <w:sz w:val="30"/>
          <w:szCs w:val="30"/>
        </w:rPr>
        <w:t>十、 附则</w:t>
      </w:r>
    </w:p>
    <w:p w14:paraId="1C47BDBC">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1.本方案经学校专项会议审议通过后实施。</w:t>
      </w:r>
    </w:p>
    <w:p w14:paraId="0746A52D">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2.采购全过程接受纪检部门、全体师生和家长的监督。</w:t>
      </w:r>
    </w:p>
    <w:p w14:paraId="3C3B5496">
      <w:pPr>
        <w:ind w:firstLine="482"/>
        <w:jc w:val="left"/>
        <w:rPr>
          <w:rFonts w:hint="eastAsia" w:ascii="仿宋" w:eastAsia="仿宋" w:hAnsiTheme="minorEastAsia" w:cstheme="minorEastAsia"/>
          <w:sz w:val="24"/>
        </w:rPr>
      </w:pPr>
      <w:r>
        <w:rPr>
          <w:rFonts w:hint="eastAsia" w:ascii="仿宋" w:eastAsia="仿宋" w:hAnsiTheme="minorEastAsia" w:cstheme="minorEastAsia"/>
          <w:sz w:val="24"/>
        </w:rPr>
        <w:t>3.本方案由校服选用组织负责解释。</w:t>
      </w:r>
    </w:p>
    <w:p w14:paraId="4B28E2E5">
      <w:pPr>
        <w:ind w:firstLine="482"/>
        <w:jc w:val="left"/>
        <w:rPr>
          <w:rFonts w:hint="eastAsia" w:ascii="仿宋" w:eastAsia="仿宋" w:hAnsiTheme="minorEastAsia" w:cstheme="minorEastAsia"/>
          <w:sz w:val="24"/>
        </w:rPr>
      </w:pPr>
    </w:p>
    <w:p w14:paraId="7A955450">
      <w:pPr>
        <w:ind w:firstLine="482"/>
        <w:jc w:val="right"/>
        <w:rPr>
          <w:rFonts w:hint="eastAsia" w:ascii="仿宋" w:eastAsia="仿宋" w:hAnsiTheme="minorEastAsia" w:cstheme="minorEastAsia"/>
          <w:sz w:val="24"/>
        </w:rPr>
      </w:pPr>
      <w:r>
        <w:rPr>
          <w:rFonts w:hint="eastAsia" w:ascii="仿宋" w:eastAsia="仿宋" w:hAnsiTheme="minorEastAsia" w:cstheme="minorEastAsia"/>
          <w:sz w:val="24"/>
        </w:rPr>
        <w:t>苏州市吴江区运河实验初级中学</w:t>
      </w:r>
      <w:r>
        <w:rPr>
          <w:rFonts w:hint="eastAsia" w:ascii="仿宋" w:hAnsi="宋体" w:eastAsia="仿宋" w:cs="宋体"/>
          <w:sz w:val="24"/>
        </w:rPr>
        <w:t>校服选用组织</w:t>
      </w:r>
    </w:p>
    <w:p w14:paraId="4DD07B32">
      <w:pPr>
        <w:ind w:firstLine="482"/>
        <w:jc w:val="right"/>
        <w:rPr>
          <w:rFonts w:hint="eastAsia" w:ascii="仿宋" w:hAnsi="宋体" w:eastAsia="仿宋" w:cs="宋体"/>
          <w:sz w:val="24"/>
        </w:rPr>
      </w:pPr>
      <w:r>
        <w:rPr>
          <w:rFonts w:hint="eastAsia" w:ascii="仿宋" w:eastAsia="仿宋" w:hAnsiTheme="minorEastAsia" w:cstheme="minorEastAsia"/>
          <w:sz w:val="24"/>
        </w:rPr>
        <w:t>2</w:t>
      </w:r>
      <w:r>
        <w:rPr>
          <w:rFonts w:ascii="仿宋" w:eastAsia="仿宋" w:hAnsiTheme="minorEastAsia" w:cstheme="minorEastAsia"/>
          <w:sz w:val="24"/>
        </w:rPr>
        <w:t>026</w:t>
      </w:r>
      <w:r>
        <w:rPr>
          <w:rFonts w:hint="eastAsia" w:ascii="仿宋" w:eastAsia="仿宋" w:hAnsiTheme="minorEastAsia" w:cstheme="minorEastAsia"/>
          <w:sz w:val="24"/>
        </w:rPr>
        <w:t>年8月3日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4450AE3-CA7E-4B70-91A5-54A060ECDAB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2" w:fontKey="{EED06233-DCAE-446A-AEEF-A691A29E53BC}"/>
  </w:font>
  <w:font w:name="仿宋">
    <w:panose1 w:val="02010609060101010101"/>
    <w:charset w:val="86"/>
    <w:family w:val="modern"/>
    <w:pitch w:val="default"/>
    <w:sig w:usb0="800002BF" w:usb1="38CF7CFA" w:usb2="00000016" w:usb3="00000000" w:csb0="00040001" w:csb1="00000000"/>
    <w:embedRegular r:id="rId3" w:fontKey="{54CF370B-75EA-4B8B-8406-5F16A3729B51}"/>
  </w:font>
  <w:font w:name="方正仿宋_GB2312">
    <w:panose1 w:val="02000000000000000000"/>
    <w:charset w:val="86"/>
    <w:family w:val="auto"/>
    <w:pitch w:val="default"/>
    <w:sig w:usb0="A00002BF" w:usb1="184F6CFA" w:usb2="00000012" w:usb3="00000000" w:csb0="00040001" w:csb1="00000000"/>
    <w:embedRegular r:id="rId4" w:fontKey="{7D00F483-A13F-45EA-A4B1-2FA78174A906}"/>
  </w:font>
  <w:font w:name="楷体">
    <w:panose1 w:val="02010609060101010101"/>
    <w:charset w:val="86"/>
    <w:family w:val="modern"/>
    <w:pitch w:val="default"/>
    <w:sig w:usb0="800002BF" w:usb1="38CF7CFA" w:usb2="00000016" w:usb3="00000000" w:csb0="00040001" w:csb1="00000000"/>
    <w:embedRegular r:id="rId5" w:fontKey="{9B45D91A-E471-4570-B971-30004F8A6617}"/>
  </w:font>
  <w:font w:name="仿宋_GB2312">
    <w:altName w:val="仿宋"/>
    <w:panose1 w:val="02010609030101010101"/>
    <w:charset w:val="86"/>
    <w:family w:val="modern"/>
    <w:pitch w:val="default"/>
    <w:sig w:usb0="00000001" w:usb1="080E0000" w:usb2="00000000" w:usb3="00000000" w:csb0="00040000" w:csb1="00000000"/>
    <w:embedRegular r:id="rId6" w:fontKey="{A1BF0862-C93B-4853-BAA1-E2A2D4663B46}"/>
  </w:font>
  <w:font w:name="WPSEMBED1">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633"/>
    <w:rsid w:val="00040470"/>
    <w:rsid w:val="00085FF3"/>
    <w:rsid w:val="000B37A0"/>
    <w:rsid w:val="000C5260"/>
    <w:rsid w:val="000E62F4"/>
    <w:rsid w:val="000E643B"/>
    <w:rsid w:val="0010408F"/>
    <w:rsid w:val="001100FC"/>
    <w:rsid w:val="001173A2"/>
    <w:rsid w:val="001350E9"/>
    <w:rsid w:val="00175E07"/>
    <w:rsid w:val="00176B09"/>
    <w:rsid w:val="00194842"/>
    <w:rsid w:val="001E2FBC"/>
    <w:rsid w:val="00212A81"/>
    <w:rsid w:val="00217993"/>
    <w:rsid w:val="00227D60"/>
    <w:rsid w:val="00234562"/>
    <w:rsid w:val="002513AE"/>
    <w:rsid w:val="00294711"/>
    <w:rsid w:val="002D2819"/>
    <w:rsid w:val="002F5D22"/>
    <w:rsid w:val="002F6F41"/>
    <w:rsid w:val="00337BDE"/>
    <w:rsid w:val="003403A9"/>
    <w:rsid w:val="003553E8"/>
    <w:rsid w:val="00385C47"/>
    <w:rsid w:val="003A12C3"/>
    <w:rsid w:val="003B2FFF"/>
    <w:rsid w:val="00401416"/>
    <w:rsid w:val="00445B62"/>
    <w:rsid w:val="004635FA"/>
    <w:rsid w:val="00474CA9"/>
    <w:rsid w:val="004933C9"/>
    <w:rsid w:val="00495ECC"/>
    <w:rsid w:val="00496B66"/>
    <w:rsid w:val="004B5648"/>
    <w:rsid w:val="004E4F8B"/>
    <w:rsid w:val="004F6EEF"/>
    <w:rsid w:val="00522F05"/>
    <w:rsid w:val="00566087"/>
    <w:rsid w:val="005D4E80"/>
    <w:rsid w:val="005D6640"/>
    <w:rsid w:val="005F2E5C"/>
    <w:rsid w:val="00633A16"/>
    <w:rsid w:val="00685907"/>
    <w:rsid w:val="006A6B5D"/>
    <w:rsid w:val="00715054"/>
    <w:rsid w:val="00760743"/>
    <w:rsid w:val="00767F29"/>
    <w:rsid w:val="00784B7C"/>
    <w:rsid w:val="00792BAA"/>
    <w:rsid w:val="007B3B8A"/>
    <w:rsid w:val="007B7FBE"/>
    <w:rsid w:val="007C5735"/>
    <w:rsid w:val="0082270F"/>
    <w:rsid w:val="008302E5"/>
    <w:rsid w:val="00831885"/>
    <w:rsid w:val="00842D65"/>
    <w:rsid w:val="0084417B"/>
    <w:rsid w:val="00850A30"/>
    <w:rsid w:val="00861633"/>
    <w:rsid w:val="008631D8"/>
    <w:rsid w:val="00887BD5"/>
    <w:rsid w:val="008D1661"/>
    <w:rsid w:val="008D2E7F"/>
    <w:rsid w:val="008D325E"/>
    <w:rsid w:val="008F3FF3"/>
    <w:rsid w:val="009062A7"/>
    <w:rsid w:val="0093150D"/>
    <w:rsid w:val="009336A6"/>
    <w:rsid w:val="009343D2"/>
    <w:rsid w:val="00976C5C"/>
    <w:rsid w:val="009A35A5"/>
    <w:rsid w:val="009F3BE7"/>
    <w:rsid w:val="009F4C25"/>
    <w:rsid w:val="00A64E7D"/>
    <w:rsid w:val="00A93A4D"/>
    <w:rsid w:val="00AA2D40"/>
    <w:rsid w:val="00AC036B"/>
    <w:rsid w:val="00AD1840"/>
    <w:rsid w:val="00AE2AFA"/>
    <w:rsid w:val="00AE48CD"/>
    <w:rsid w:val="00B12790"/>
    <w:rsid w:val="00B26F0E"/>
    <w:rsid w:val="00B65375"/>
    <w:rsid w:val="00B76907"/>
    <w:rsid w:val="00B834B7"/>
    <w:rsid w:val="00B85B92"/>
    <w:rsid w:val="00B9461C"/>
    <w:rsid w:val="00BC4961"/>
    <w:rsid w:val="00BD0706"/>
    <w:rsid w:val="00BE7C32"/>
    <w:rsid w:val="00BF6D4F"/>
    <w:rsid w:val="00C15642"/>
    <w:rsid w:val="00C34074"/>
    <w:rsid w:val="00C37753"/>
    <w:rsid w:val="00C4230B"/>
    <w:rsid w:val="00C43FB2"/>
    <w:rsid w:val="00C44BD3"/>
    <w:rsid w:val="00C57ABE"/>
    <w:rsid w:val="00C63742"/>
    <w:rsid w:val="00C8574C"/>
    <w:rsid w:val="00C87227"/>
    <w:rsid w:val="00CA78C6"/>
    <w:rsid w:val="00D34947"/>
    <w:rsid w:val="00D475AF"/>
    <w:rsid w:val="00D51EBA"/>
    <w:rsid w:val="00D639A7"/>
    <w:rsid w:val="00D65BF1"/>
    <w:rsid w:val="00D765C7"/>
    <w:rsid w:val="00D803EA"/>
    <w:rsid w:val="00D85D99"/>
    <w:rsid w:val="00D968EA"/>
    <w:rsid w:val="00DF4882"/>
    <w:rsid w:val="00E14CF5"/>
    <w:rsid w:val="00E31490"/>
    <w:rsid w:val="00E376F5"/>
    <w:rsid w:val="00E63A60"/>
    <w:rsid w:val="00E80796"/>
    <w:rsid w:val="00E85CE3"/>
    <w:rsid w:val="00E95E25"/>
    <w:rsid w:val="00F31999"/>
    <w:rsid w:val="00FB03D9"/>
    <w:rsid w:val="00FE27B8"/>
    <w:rsid w:val="00FE287F"/>
    <w:rsid w:val="00FF020C"/>
    <w:rsid w:val="043F186F"/>
    <w:rsid w:val="04B05230"/>
    <w:rsid w:val="05C835A8"/>
    <w:rsid w:val="068B6E4F"/>
    <w:rsid w:val="06C426FE"/>
    <w:rsid w:val="07DD0F50"/>
    <w:rsid w:val="07FC6A20"/>
    <w:rsid w:val="09050131"/>
    <w:rsid w:val="095E0943"/>
    <w:rsid w:val="096B31AE"/>
    <w:rsid w:val="09F50896"/>
    <w:rsid w:val="09FD2976"/>
    <w:rsid w:val="0AF36F33"/>
    <w:rsid w:val="0F054688"/>
    <w:rsid w:val="0F8D0CA3"/>
    <w:rsid w:val="117D398E"/>
    <w:rsid w:val="12CA118C"/>
    <w:rsid w:val="13CD70D5"/>
    <w:rsid w:val="154F5D87"/>
    <w:rsid w:val="17503600"/>
    <w:rsid w:val="17BE60C2"/>
    <w:rsid w:val="1B51594B"/>
    <w:rsid w:val="1F436EAF"/>
    <w:rsid w:val="1F654410"/>
    <w:rsid w:val="204C2FA3"/>
    <w:rsid w:val="2059076A"/>
    <w:rsid w:val="21222CFF"/>
    <w:rsid w:val="217F43CB"/>
    <w:rsid w:val="22ED2E8C"/>
    <w:rsid w:val="234D2B28"/>
    <w:rsid w:val="240302E5"/>
    <w:rsid w:val="244A7672"/>
    <w:rsid w:val="2498368E"/>
    <w:rsid w:val="24EF141E"/>
    <w:rsid w:val="26072B5E"/>
    <w:rsid w:val="263B1A88"/>
    <w:rsid w:val="275F7656"/>
    <w:rsid w:val="28D77A28"/>
    <w:rsid w:val="2A020486"/>
    <w:rsid w:val="2A183AD0"/>
    <w:rsid w:val="2CA13752"/>
    <w:rsid w:val="2D5C670C"/>
    <w:rsid w:val="32C3472F"/>
    <w:rsid w:val="34B50542"/>
    <w:rsid w:val="35245113"/>
    <w:rsid w:val="36C40738"/>
    <w:rsid w:val="38FF0A9E"/>
    <w:rsid w:val="3B87124F"/>
    <w:rsid w:val="3BCA4782"/>
    <w:rsid w:val="3BD83327"/>
    <w:rsid w:val="3BD97EC0"/>
    <w:rsid w:val="3C6F2556"/>
    <w:rsid w:val="3CF66E12"/>
    <w:rsid w:val="3D0B0DB2"/>
    <w:rsid w:val="42D53494"/>
    <w:rsid w:val="42D907DD"/>
    <w:rsid w:val="43860DA3"/>
    <w:rsid w:val="489A0656"/>
    <w:rsid w:val="4AD22CB5"/>
    <w:rsid w:val="4AD80EBD"/>
    <w:rsid w:val="4C6809D6"/>
    <w:rsid w:val="4D1A6B8D"/>
    <w:rsid w:val="4E504FBC"/>
    <w:rsid w:val="4E851C43"/>
    <w:rsid w:val="4F5364F2"/>
    <w:rsid w:val="4FA0507F"/>
    <w:rsid w:val="50B91E13"/>
    <w:rsid w:val="50C832A4"/>
    <w:rsid w:val="518A2B8B"/>
    <w:rsid w:val="53A17EE1"/>
    <w:rsid w:val="548715A4"/>
    <w:rsid w:val="56752642"/>
    <w:rsid w:val="573F479F"/>
    <w:rsid w:val="5AEB5D03"/>
    <w:rsid w:val="5C846562"/>
    <w:rsid w:val="5E8B1D72"/>
    <w:rsid w:val="5EB76A95"/>
    <w:rsid w:val="5EEE5CC7"/>
    <w:rsid w:val="5F9E1A6E"/>
    <w:rsid w:val="600D6225"/>
    <w:rsid w:val="602C66DE"/>
    <w:rsid w:val="624175C8"/>
    <w:rsid w:val="63053888"/>
    <w:rsid w:val="65CB5F81"/>
    <w:rsid w:val="67E94E3A"/>
    <w:rsid w:val="691962F1"/>
    <w:rsid w:val="6AA31E4C"/>
    <w:rsid w:val="6B2B63D9"/>
    <w:rsid w:val="6C0D6B97"/>
    <w:rsid w:val="6C6A731D"/>
    <w:rsid w:val="6DC8345E"/>
    <w:rsid w:val="6E0B30F2"/>
    <w:rsid w:val="6E221523"/>
    <w:rsid w:val="704742C4"/>
    <w:rsid w:val="755926E2"/>
    <w:rsid w:val="75ED76DA"/>
    <w:rsid w:val="767E45F5"/>
    <w:rsid w:val="769C3384"/>
    <w:rsid w:val="77E2219F"/>
    <w:rsid w:val="7AEE0D27"/>
    <w:rsid w:val="7B0E51CF"/>
    <w:rsid w:val="7B1719C2"/>
    <w:rsid w:val="7BAD073E"/>
    <w:rsid w:val="7C246AA5"/>
    <w:rsid w:val="7C861BF7"/>
    <w:rsid w:val="7CE61780"/>
    <w:rsid w:val="7D9815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qFormat/>
    <w:uiPriority w:val="0"/>
    <w:pPr>
      <w:jc w:val="left"/>
    </w:pPr>
  </w:style>
  <w:style w:type="paragraph" w:styleId="3">
    <w:name w:val="Body Text Indent"/>
    <w:basedOn w:val="1"/>
    <w:next w:val="1"/>
    <w:qFormat/>
    <w:uiPriority w:val="0"/>
    <w:pPr>
      <w:spacing w:line="360" w:lineRule="auto"/>
      <w:ind w:firstLine="570"/>
    </w:pPr>
    <w:rPr>
      <w:sz w:val="24"/>
    </w:rPr>
  </w:style>
  <w:style w:type="paragraph" w:styleId="4">
    <w:name w:val="Date"/>
    <w:basedOn w:val="1"/>
    <w:next w:val="1"/>
    <w:link w:val="17"/>
    <w:qFormat/>
    <w:uiPriority w:val="0"/>
    <w:pPr>
      <w:ind w:left="100" w:leftChars="2500"/>
    </w:pPr>
  </w:style>
  <w:style w:type="paragraph" w:styleId="5">
    <w:name w:val="Balloon Text"/>
    <w:basedOn w:val="1"/>
    <w:link w:val="19"/>
    <w:qFormat/>
    <w:uiPriority w:val="0"/>
    <w:rPr>
      <w:sz w:val="18"/>
      <w:szCs w:val="18"/>
    </w:rPr>
  </w:style>
  <w:style w:type="paragraph" w:styleId="6">
    <w:name w:val="footer"/>
    <w:basedOn w:val="1"/>
    <w:link w:val="13"/>
    <w:qFormat/>
    <w:uiPriority w:val="0"/>
    <w:pPr>
      <w:tabs>
        <w:tab w:val="center" w:pos="4153"/>
        <w:tab w:val="right" w:pos="8306"/>
      </w:tabs>
      <w:snapToGrid w:val="0"/>
      <w:jc w:val="left"/>
    </w:pPr>
    <w:rPr>
      <w:sz w:val="18"/>
      <w:szCs w:val="18"/>
    </w:rPr>
  </w:style>
  <w:style w:type="paragraph" w:styleId="7">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2"/>
    <w:next w:val="2"/>
    <w:link w:val="18"/>
    <w:qFormat/>
    <w:uiPriority w:val="0"/>
    <w:rPr>
      <w:b/>
      <w:bCs/>
    </w:rPr>
  </w:style>
  <w:style w:type="table" w:styleId="10">
    <w:name w:val="Table Grid"/>
    <w:basedOn w:val="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2">
    <w:name w:val="annotation reference"/>
    <w:basedOn w:val="11"/>
    <w:qFormat/>
    <w:uiPriority w:val="0"/>
    <w:rPr>
      <w:sz w:val="21"/>
      <w:szCs w:val="21"/>
    </w:rPr>
  </w:style>
  <w:style w:type="character" w:customStyle="1" w:styleId="13">
    <w:name w:val="页脚 字符"/>
    <w:basedOn w:val="11"/>
    <w:link w:val="6"/>
    <w:qFormat/>
    <w:uiPriority w:val="0"/>
    <w:rPr>
      <w:rFonts w:asciiTheme="minorHAnsi" w:hAnsiTheme="minorHAnsi" w:eastAsiaTheme="minorEastAsia" w:cstheme="minorBidi"/>
      <w:kern w:val="2"/>
      <w:sz w:val="18"/>
      <w:szCs w:val="18"/>
    </w:rPr>
  </w:style>
  <w:style w:type="paragraph" w:customStyle="1" w:styleId="14">
    <w:name w:val="Table Text"/>
    <w:basedOn w:val="1"/>
    <w:qFormat/>
    <w:uiPriority w:val="0"/>
    <w:rPr>
      <w:rFonts w:ascii="宋体" w:hAnsi="宋体" w:eastAsia="宋体" w:cs="宋体"/>
      <w:sz w:val="24"/>
    </w:rPr>
  </w:style>
  <w:style w:type="paragraph" w:styleId="15">
    <w:name w:val="List Paragraph"/>
    <w:basedOn w:val="1"/>
    <w:autoRedefine/>
    <w:qFormat/>
    <w:uiPriority w:val="34"/>
    <w:pPr>
      <w:ind w:firstLine="420" w:firstLineChars="200"/>
    </w:pPr>
    <w:rPr>
      <w:rFonts w:ascii="Calibri" w:hAnsi="Calibri"/>
      <w:szCs w:val="22"/>
    </w:rPr>
  </w:style>
  <w:style w:type="character" w:customStyle="1" w:styleId="16">
    <w:name w:val="批注文字 字符"/>
    <w:basedOn w:val="11"/>
    <w:link w:val="2"/>
    <w:qFormat/>
    <w:uiPriority w:val="0"/>
    <w:rPr>
      <w:rFonts w:asciiTheme="minorHAnsi" w:hAnsiTheme="minorHAnsi" w:eastAsiaTheme="minorEastAsia" w:cstheme="minorBidi"/>
      <w:kern w:val="2"/>
      <w:sz w:val="21"/>
      <w:szCs w:val="24"/>
    </w:rPr>
  </w:style>
  <w:style w:type="character" w:customStyle="1" w:styleId="17">
    <w:name w:val="日期 字符"/>
    <w:basedOn w:val="11"/>
    <w:link w:val="4"/>
    <w:qFormat/>
    <w:uiPriority w:val="0"/>
    <w:rPr>
      <w:rFonts w:asciiTheme="minorHAnsi" w:hAnsiTheme="minorHAnsi" w:eastAsiaTheme="minorEastAsia" w:cstheme="minorBidi"/>
      <w:kern w:val="2"/>
      <w:sz w:val="21"/>
      <w:szCs w:val="24"/>
    </w:rPr>
  </w:style>
  <w:style w:type="character" w:customStyle="1" w:styleId="18">
    <w:name w:val="批注主题 字符"/>
    <w:basedOn w:val="16"/>
    <w:link w:val="8"/>
    <w:qFormat/>
    <w:uiPriority w:val="0"/>
    <w:rPr>
      <w:rFonts w:asciiTheme="minorHAnsi" w:hAnsiTheme="minorHAnsi" w:eastAsiaTheme="minorEastAsia" w:cstheme="minorBidi"/>
      <w:b/>
      <w:bCs/>
      <w:kern w:val="2"/>
      <w:sz w:val="21"/>
      <w:szCs w:val="24"/>
    </w:rPr>
  </w:style>
  <w:style w:type="character" w:customStyle="1" w:styleId="19">
    <w:name w:val="批注框文本 字符"/>
    <w:basedOn w:val="11"/>
    <w:link w:val="5"/>
    <w:qFormat/>
    <w:uiPriority w:val="0"/>
    <w:rPr>
      <w:rFonts w:asciiTheme="minorHAnsi" w:hAnsiTheme="minorHAnsi" w:eastAsiaTheme="minorEastAsia" w:cstheme="minorBidi"/>
      <w:kern w:val="2"/>
      <w:sz w:val="18"/>
      <w:szCs w:val="18"/>
    </w:rPr>
  </w:style>
  <w:style w:type="table" w:customStyle="1" w:styleId="20">
    <w:name w:val="Table Normal"/>
    <w:qFormat/>
    <w:uiPriority w:val="0"/>
    <w:tblPr>
      <w:tblCellMar>
        <w:top w:w="0" w:type="dxa"/>
        <w:left w:w="0" w:type="dxa"/>
        <w:bottom w:w="0" w:type="dxa"/>
        <w:right w:w="0" w:type="dxa"/>
      </w:tblCellMar>
    </w:tblPr>
  </w:style>
  <w:style w:type="character" w:customStyle="1" w:styleId="21">
    <w:name w:val="页眉 字符"/>
    <w:basedOn w:val="11"/>
    <w:link w:val="7"/>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7688</Words>
  <Characters>8106</Characters>
  <Lines>59</Lines>
  <Paragraphs>16</Paragraphs>
  <TotalTime>2</TotalTime>
  <ScaleCrop>false</ScaleCrop>
  <LinksUpToDate>false</LinksUpToDate>
  <CharactersWithSpaces>8124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2026-08-08T10:47:00Z</dcterms:created>
  <dc:creator>华为</dc:creator>
  <cp:lastModifiedBy>毛鑫</cp:lastModifiedBy>
  <dcterms:modified xsi:type="dcterms:W3CDTF">2026-08-10T13:59:04Z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eyJoZGlkIjoiYjU4NzY5M2YxOWM1NmIwN2UxZmIxN2NkMDNkODhiZjEiLCJ1c2VySWQiOiI1OTk1NDU5NjQifQ==</vt:lpwstr>
  </property>
  <property fmtid="{D5CDD505-2E9C-101B-9397-08002B2CF9AE}" pid="3" name="KSOProductBuildVer">
    <vt:lpwstr>2052-12.1.0.25225</vt:lpwstr>
  </property>
  <property fmtid="{D5CDD505-2E9C-101B-9397-08002B2CF9AE}" pid="4" name="ICV">
    <vt:lpwstr>C9F625E4274940F5B2FB750DEA78FD9D_12</vt:lpwstr>
  </property>
</Properties>
</file>